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2BE16E">
      <w:pPr>
        <w:pStyle w:val="3"/>
        <w:keepNext w:val="0"/>
        <w:keepLines w:val="0"/>
        <w:widowControl/>
        <w:suppressLineNumbers w:val="0"/>
        <w:spacing w:before="0" w:beforeAutospacing="0" w:after="150" w:afterAutospacing="0"/>
        <w:ind w:left="0" w:right="0"/>
      </w:pPr>
      <w:r>
        <w:rPr>
          <w:rStyle w:val="6"/>
          <w:rFonts w:hint="eastAsia" w:ascii="宋体" w:hAnsi="宋体" w:eastAsia="宋体" w:cs="宋体"/>
          <w:b/>
          <w:bCs/>
          <w:i w:val="0"/>
          <w:iCs w:val="0"/>
          <w:caps w:val="0"/>
          <w:color w:val="333333"/>
          <w:spacing w:val="0"/>
          <w:sz w:val="30"/>
          <w:szCs w:val="30"/>
        </w:rPr>
        <w:t>职工医疗保险政策：</w:t>
      </w:r>
    </w:p>
    <w:p w14:paraId="025A047F">
      <w:pPr>
        <w:pStyle w:val="3"/>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rPr>
        <w:t>一、职工医保转入接续、断保续缴时间与待遇享受有何关系？</w:t>
      </w:r>
    </w:p>
    <w:p w14:paraId="689CCAEB">
      <w:pPr>
        <w:pStyle w:val="3"/>
        <w:keepNext w:val="0"/>
        <w:keepLines w:val="0"/>
        <w:widowControl/>
        <w:suppressLineNumbers w:val="0"/>
        <w:spacing w:before="0" w:beforeAutospacing="0" w:after="150" w:afterAutospacing="0"/>
        <w:ind w:left="0" w:right="0"/>
        <w:rPr>
          <w:color w:val="000000" w:themeColor="text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t>1.</w:t>
      </w:r>
      <w:r>
        <w:rPr>
          <w:rFonts w:hint="eastAsia" w:ascii="宋体" w:hAnsi="宋体" w:eastAsia="宋体" w:cs="宋体"/>
          <w:i w:val="0"/>
          <w:iCs w:val="0"/>
          <w:caps w:val="0"/>
          <w:color w:val="000000" w:themeColor="text1"/>
          <w:spacing w:val="0"/>
          <w:sz w:val="21"/>
          <w:szCs w:val="21"/>
          <w14:textFill>
            <w14:solidFill>
              <w14:schemeClr w14:val="tx1"/>
            </w14:solidFill>
          </w14:textFill>
        </w:rPr>
        <w:t>首次参加职工医疗保险或中断缴费超过</w:t>
      </w:r>
      <w:r>
        <w:rPr>
          <w:rFonts w:hint="eastAsia" w:ascii="宋体" w:hAnsi="宋体" w:eastAsia="宋体" w:cs="宋体"/>
          <w:i w:val="0"/>
          <w:iCs w:val="0"/>
          <w:caps w:val="0"/>
          <w:color w:val="000000" w:themeColor="text1"/>
          <w:spacing w:val="0"/>
          <w:sz w:val="21"/>
          <w:szCs w:val="21"/>
          <w:lang w:val="en-US" w:eastAsia="zh-CN"/>
          <w14:textFill>
            <w14:solidFill>
              <w14:schemeClr w14:val="tx1"/>
            </w14:solidFill>
          </w14:textFill>
        </w:rPr>
        <w:t>3</w:t>
      </w:r>
      <w:r>
        <w:rPr>
          <w:rFonts w:hint="eastAsia" w:ascii="宋体" w:hAnsi="宋体" w:eastAsia="宋体" w:cs="宋体"/>
          <w:i w:val="0"/>
          <w:iCs w:val="0"/>
          <w:caps w:val="0"/>
          <w:color w:val="000000" w:themeColor="text1"/>
          <w:spacing w:val="0"/>
          <w:sz w:val="21"/>
          <w:szCs w:val="21"/>
          <w14:textFill>
            <w14:solidFill>
              <w14:schemeClr w14:val="tx1"/>
            </w14:solidFill>
          </w14:textFill>
        </w:rPr>
        <w:t>个月，</w:t>
      </w:r>
      <w:r>
        <w:rPr>
          <w:rFonts w:hint="eastAsia" w:ascii="宋体" w:hAnsi="宋体" w:eastAsia="宋体" w:cs="宋体"/>
          <w:i w:val="0"/>
          <w:iCs w:val="0"/>
          <w:caps w:val="0"/>
          <w:color w:val="000000" w:themeColor="text1"/>
          <w:spacing w:val="0"/>
          <w:sz w:val="21"/>
          <w:szCs w:val="21"/>
          <w:lang w:val="en-US" w:eastAsia="zh-CN"/>
          <w14:textFill>
            <w14:solidFill>
              <w14:schemeClr w14:val="tx1"/>
            </w14:solidFill>
          </w14:textFill>
        </w:rPr>
        <w:t>单位职工自缴费次日起享受医保待遇；灵活就业人员自缴费后的第三个自然月起享受医保待遇，</w:t>
      </w:r>
      <w:r>
        <w:rPr>
          <w:rFonts w:hint="eastAsia" w:ascii="宋体" w:hAnsi="宋体" w:eastAsia="宋体" w:cs="宋体"/>
          <w:i w:val="0"/>
          <w:iCs w:val="0"/>
          <w:caps w:val="0"/>
          <w:color w:val="000000" w:themeColor="text1"/>
          <w:spacing w:val="0"/>
          <w:sz w:val="21"/>
          <w:szCs w:val="21"/>
          <w14:textFill>
            <w14:solidFill>
              <w14:schemeClr w14:val="tx1"/>
            </w14:solidFill>
          </w14:textFill>
        </w:rPr>
        <w:t>此前医疗费用不</w:t>
      </w:r>
      <w:r>
        <w:rPr>
          <w:rFonts w:hint="eastAsia" w:ascii="宋体" w:hAnsi="宋体" w:eastAsia="宋体" w:cs="宋体"/>
          <w:i w:val="0"/>
          <w:iCs w:val="0"/>
          <w:caps w:val="0"/>
          <w:color w:val="000000" w:themeColor="text1"/>
          <w:spacing w:val="0"/>
          <w:sz w:val="21"/>
          <w:szCs w:val="21"/>
          <w:lang w:val="en-US" w:eastAsia="zh-CN"/>
          <w14:textFill>
            <w14:solidFill>
              <w14:schemeClr w14:val="tx1"/>
            </w14:solidFill>
          </w14:textFill>
        </w:rPr>
        <w:t>享受职工医疗待遇</w:t>
      </w:r>
      <w:r>
        <w:rPr>
          <w:rFonts w:hint="eastAsia" w:ascii="宋体" w:hAnsi="宋体" w:eastAsia="宋体" w:cs="宋体"/>
          <w:i w:val="0"/>
          <w:iCs w:val="0"/>
          <w:caps w:val="0"/>
          <w:color w:val="000000" w:themeColor="text1"/>
          <w:spacing w:val="0"/>
          <w:sz w:val="21"/>
          <w:szCs w:val="21"/>
          <w14:textFill>
            <w14:solidFill>
              <w14:schemeClr w14:val="tx1"/>
            </w14:solidFill>
          </w14:textFill>
        </w:rPr>
        <w:t>。</w:t>
      </w:r>
    </w:p>
    <w:p w14:paraId="4104524A">
      <w:pPr>
        <w:pStyle w:val="3"/>
        <w:keepNext w:val="0"/>
        <w:keepLines w:val="0"/>
        <w:widowControl/>
        <w:suppressLineNumbers w:val="0"/>
        <w:spacing w:before="0" w:beforeAutospacing="0" w:after="150" w:afterAutospacing="0"/>
        <w:ind w:left="0" w:right="0"/>
        <w:rPr>
          <w:rFonts w:hint="eastAsia" w:ascii="宋体" w:hAnsi="宋体" w:eastAsia="宋体" w:cs="宋体"/>
          <w:i w:val="0"/>
          <w:iCs w:val="0"/>
          <w:caps w:val="0"/>
          <w:color w:val="000000" w:themeColor="text1"/>
          <w:spacing w:val="0"/>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t>2.</w:t>
      </w:r>
      <w:r>
        <w:rPr>
          <w:rFonts w:hint="eastAsia" w:ascii="宋体" w:hAnsi="宋体" w:eastAsia="宋体" w:cs="宋体"/>
          <w:i w:val="0"/>
          <w:iCs w:val="0"/>
          <w:caps w:val="0"/>
          <w:color w:val="000000" w:themeColor="text1"/>
          <w:spacing w:val="0"/>
          <w:sz w:val="21"/>
          <w:szCs w:val="21"/>
          <w14:textFill>
            <w14:solidFill>
              <w14:schemeClr w14:val="tx1"/>
            </w14:solidFill>
          </w14:textFill>
        </w:rPr>
        <w:t>外地职工医保转入我市职工医保，</w:t>
      </w:r>
      <w:r>
        <w:rPr>
          <w:rFonts w:hint="eastAsia" w:ascii="宋体" w:hAnsi="宋体" w:eastAsia="宋体" w:cs="宋体"/>
          <w:i w:val="0"/>
          <w:iCs w:val="0"/>
          <w:caps w:val="0"/>
          <w:color w:val="000000" w:themeColor="text1"/>
          <w:spacing w:val="0"/>
          <w:sz w:val="21"/>
          <w:szCs w:val="21"/>
          <w:lang w:val="en-US" w:eastAsia="zh-CN"/>
          <w14:textFill>
            <w14:solidFill>
              <w14:schemeClr w14:val="tx1"/>
            </w14:solidFill>
          </w14:textFill>
        </w:rPr>
        <w:t>断保</w:t>
      </w:r>
      <w:r>
        <w:rPr>
          <w:rFonts w:hint="eastAsia" w:ascii="宋体" w:hAnsi="宋体" w:eastAsia="宋体" w:cs="宋体"/>
          <w:i w:val="0"/>
          <w:iCs w:val="0"/>
          <w:caps w:val="0"/>
          <w:color w:val="000000" w:themeColor="text1"/>
          <w:spacing w:val="0"/>
          <w:sz w:val="21"/>
          <w:szCs w:val="21"/>
          <w14:textFill>
            <w14:solidFill>
              <w14:schemeClr w14:val="tx1"/>
            </w14:solidFill>
          </w14:textFill>
        </w:rPr>
        <w:t>之日</w:t>
      </w:r>
      <w:r>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t>3</w:t>
      </w:r>
      <w:r>
        <w:rPr>
          <w:rFonts w:hint="eastAsia" w:ascii="宋体" w:hAnsi="宋体" w:eastAsia="宋体" w:cs="宋体"/>
          <w:i w:val="0"/>
          <w:iCs w:val="0"/>
          <w:caps w:val="0"/>
          <w:color w:val="000000" w:themeColor="text1"/>
          <w:spacing w:val="0"/>
          <w:sz w:val="21"/>
          <w:szCs w:val="21"/>
          <w14:textFill>
            <w14:solidFill>
              <w14:schemeClr w14:val="tx1"/>
            </w14:solidFill>
          </w14:textFill>
        </w:rPr>
        <w:t>个月内办理并续保的，享受医保报销待遇；转入转出期间补缴未缴费用，期间发生的费用，予以报销；超过</w:t>
      </w:r>
      <w:r>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t>3</w:t>
      </w:r>
      <w:r>
        <w:rPr>
          <w:rFonts w:hint="eastAsia" w:ascii="宋体" w:hAnsi="宋体" w:eastAsia="宋体" w:cs="宋体"/>
          <w:i w:val="0"/>
          <w:iCs w:val="0"/>
          <w:caps w:val="0"/>
          <w:color w:val="000000" w:themeColor="text1"/>
          <w:spacing w:val="0"/>
          <w:sz w:val="21"/>
          <w:szCs w:val="21"/>
          <w14:textFill>
            <w14:solidFill>
              <w14:schemeClr w14:val="tx1"/>
            </w14:solidFill>
          </w14:textFill>
        </w:rPr>
        <w:t>个月并续保的，</w:t>
      </w:r>
      <w:r>
        <w:rPr>
          <w:rFonts w:hint="eastAsia" w:ascii="宋体" w:hAnsi="宋体" w:eastAsia="宋体" w:cs="宋体"/>
          <w:i w:val="0"/>
          <w:iCs w:val="0"/>
          <w:caps w:val="0"/>
          <w:color w:val="000000" w:themeColor="text1"/>
          <w:spacing w:val="0"/>
          <w:sz w:val="21"/>
          <w:szCs w:val="21"/>
          <w:lang w:val="en-US" w:eastAsia="zh-CN"/>
          <w14:textFill>
            <w14:solidFill>
              <w14:schemeClr w14:val="tx1"/>
            </w14:solidFill>
          </w14:textFill>
        </w:rPr>
        <w:t>单位职工自缴费次日起享受医保待遇；灵活就业人员自缴费后的第三个自然月起享受医保待遇，</w:t>
      </w:r>
      <w:r>
        <w:rPr>
          <w:rFonts w:hint="eastAsia" w:ascii="宋体" w:hAnsi="宋体" w:eastAsia="宋体" w:cs="宋体"/>
          <w:i w:val="0"/>
          <w:iCs w:val="0"/>
          <w:caps w:val="0"/>
          <w:color w:val="000000" w:themeColor="text1"/>
          <w:spacing w:val="0"/>
          <w:sz w:val="21"/>
          <w:szCs w:val="21"/>
          <w14:textFill>
            <w14:solidFill>
              <w14:schemeClr w14:val="tx1"/>
            </w14:solidFill>
          </w14:textFill>
        </w:rPr>
        <w:t>此前医疗费用不</w:t>
      </w:r>
      <w:r>
        <w:rPr>
          <w:rFonts w:hint="eastAsia" w:ascii="宋体" w:hAnsi="宋体" w:eastAsia="宋体" w:cs="宋体"/>
          <w:i w:val="0"/>
          <w:iCs w:val="0"/>
          <w:caps w:val="0"/>
          <w:color w:val="000000" w:themeColor="text1"/>
          <w:spacing w:val="0"/>
          <w:sz w:val="21"/>
          <w:szCs w:val="21"/>
          <w:lang w:val="en-US" w:eastAsia="zh-CN"/>
          <w14:textFill>
            <w14:solidFill>
              <w14:schemeClr w14:val="tx1"/>
            </w14:solidFill>
          </w14:textFill>
        </w:rPr>
        <w:t>享受职工医疗待遇</w:t>
      </w:r>
      <w:r>
        <w:rPr>
          <w:rFonts w:hint="eastAsia" w:ascii="宋体" w:hAnsi="宋体" w:eastAsia="宋体" w:cs="宋体"/>
          <w:i w:val="0"/>
          <w:iCs w:val="0"/>
          <w:caps w:val="0"/>
          <w:color w:val="000000" w:themeColor="text1"/>
          <w:spacing w:val="0"/>
          <w:sz w:val="21"/>
          <w:szCs w:val="21"/>
          <w14:textFill>
            <w14:solidFill>
              <w14:schemeClr w14:val="tx1"/>
            </w14:solidFill>
          </w14:textFill>
        </w:rPr>
        <w:t>；</w:t>
      </w:r>
    </w:p>
    <w:p w14:paraId="571E2F09">
      <w:pPr>
        <w:pStyle w:val="3"/>
        <w:keepNext w:val="0"/>
        <w:keepLines w:val="0"/>
        <w:widowControl/>
        <w:suppressLineNumbers w:val="0"/>
        <w:spacing w:before="0" w:beforeAutospacing="0" w:after="150" w:afterAutospacing="0"/>
        <w:ind w:left="0" w:right="0"/>
        <w:rPr>
          <w:color w:val="000000" w:themeColor="text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t>3.</w:t>
      </w:r>
      <w:r>
        <w:rPr>
          <w:rFonts w:hint="eastAsia" w:ascii="宋体" w:hAnsi="宋体" w:eastAsia="宋体" w:cs="宋体"/>
          <w:i w:val="0"/>
          <w:iCs w:val="0"/>
          <w:caps w:val="0"/>
          <w:color w:val="000000" w:themeColor="text1"/>
          <w:spacing w:val="0"/>
          <w:sz w:val="21"/>
          <w:szCs w:val="21"/>
          <w14:textFill>
            <w14:solidFill>
              <w14:schemeClr w14:val="tx1"/>
            </w14:solidFill>
          </w14:textFill>
        </w:rPr>
        <w:t>本市正常城乡居民医保转入职工医保，</w:t>
      </w:r>
      <w:r>
        <w:rPr>
          <w:rFonts w:hint="eastAsia" w:ascii="宋体" w:hAnsi="宋体" w:eastAsia="宋体" w:cs="宋体"/>
          <w:i w:val="0"/>
          <w:iCs w:val="0"/>
          <w:caps w:val="0"/>
          <w:color w:val="000000" w:themeColor="text1"/>
          <w:spacing w:val="0"/>
          <w:sz w:val="21"/>
          <w:szCs w:val="21"/>
          <w:lang w:val="en-US" w:eastAsia="zh-CN"/>
          <w14:textFill>
            <w14:solidFill>
              <w14:schemeClr w14:val="tx1"/>
            </w14:solidFill>
          </w14:textFill>
        </w:rPr>
        <w:t>单位职工自缴费次日起享受医保待遇；灵活就业人员转换后2个月内发生的医疗费用按居民医保政策报销，并划拨个人账户；2个月后按职工医保待遇执行</w:t>
      </w:r>
      <w:r>
        <w:rPr>
          <w:rFonts w:hint="eastAsia" w:ascii="宋体" w:hAnsi="宋体" w:eastAsia="宋体" w:cs="宋体"/>
          <w:i w:val="0"/>
          <w:iCs w:val="0"/>
          <w:caps w:val="0"/>
          <w:color w:val="000000" w:themeColor="text1"/>
          <w:spacing w:val="0"/>
          <w:sz w:val="21"/>
          <w:szCs w:val="21"/>
          <w14:textFill>
            <w14:solidFill>
              <w14:schemeClr w14:val="tx1"/>
            </w14:solidFill>
          </w14:textFill>
        </w:rPr>
        <w:t>。</w:t>
      </w:r>
      <w:r>
        <w:rPr>
          <w:rFonts w:hint="eastAsia" w:ascii="宋体" w:hAnsi="宋体" w:eastAsia="宋体" w:cs="宋体"/>
          <w:i w:val="0"/>
          <w:iCs w:val="0"/>
          <w:caps w:val="0"/>
          <w:color w:val="000000" w:themeColor="text1"/>
          <w:spacing w:val="0"/>
          <w:sz w:val="21"/>
          <w:szCs w:val="21"/>
          <w:lang w:val="en-US" w:eastAsia="zh-CN"/>
          <w14:textFill>
            <w14:solidFill>
              <w14:schemeClr w14:val="tx1"/>
            </w14:solidFill>
          </w14:textFill>
        </w:rPr>
        <w:t>在待遇享受期内的</w:t>
      </w:r>
      <w:r>
        <w:rPr>
          <w:rFonts w:hint="eastAsia" w:ascii="宋体" w:hAnsi="宋体" w:eastAsia="宋体" w:cs="宋体"/>
          <w:i w:val="0"/>
          <w:iCs w:val="0"/>
          <w:caps w:val="0"/>
          <w:color w:val="000000" w:themeColor="text1"/>
          <w:spacing w:val="0"/>
          <w:sz w:val="21"/>
          <w:szCs w:val="21"/>
          <w14:textFill>
            <w14:solidFill>
              <w14:schemeClr w14:val="tx1"/>
            </w14:solidFill>
          </w14:textFill>
        </w:rPr>
        <w:t>居民医疗保险费不予退还。</w:t>
      </w:r>
    </w:p>
    <w:p w14:paraId="6587E92B">
      <w:pPr>
        <w:pStyle w:val="3"/>
        <w:keepNext w:val="0"/>
        <w:keepLines w:val="0"/>
        <w:widowControl/>
        <w:suppressLineNumbers w:val="0"/>
        <w:spacing w:before="0" w:beforeAutospacing="0" w:after="150" w:afterAutospacing="0"/>
        <w:ind w:left="0" w:right="0"/>
        <w:rPr>
          <w:color w:val="000000" w:themeColor="text1"/>
          <w14:textFill>
            <w14:solidFill>
              <w14:schemeClr w14:val="tx1"/>
            </w14:solidFill>
          </w14:textFill>
        </w:rPr>
      </w:pPr>
      <w:r>
        <w:rPr>
          <w:rFonts w:hint="eastAsia" w:ascii="宋体" w:hAnsi="宋体" w:eastAsia="宋体" w:cs="宋体"/>
          <w:i w:val="0"/>
          <w:iCs w:val="0"/>
          <w:caps w:val="0"/>
          <w:color w:val="000000" w:themeColor="text1"/>
          <w:spacing w:val="0"/>
          <w:sz w:val="21"/>
          <w:szCs w:val="21"/>
          <w14:textFill>
            <w14:solidFill>
              <w14:schemeClr w14:val="tx1"/>
            </w14:solidFill>
          </w14:textFill>
        </w:rPr>
        <w:t>二、参保人员如何就医结算？</w:t>
      </w:r>
    </w:p>
    <w:p w14:paraId="6DF13462">
      <w:pPr>
        <w:pStyle w:val="3"/>
        <w:keepNext w:val="0"/>
        <w:keepLines w:val="0"/>
        <w:widowControl/>
        <w:suppressLineNumbers w:val="0"/>
        <w:spacing w:before="0" w:beforeAutospacing="0" w:after="150" w:afterAutospacing="0"/>
        <w:ind w:left="0" w:right="0" w:firstLine="420" w:firstLineChars="200"/>
        <w:rPr>
          <w:rFonts w:hint="eastAsia" w:eastAsia="宋体"/>
          <w:strike/>
          <w:dstrike w:val="0"/>
          <w:color w:val="000000" w:themeColor="text1"/>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14:textFill>
            <w14:solidFill>
              <w14:schemeClr w14:val="tx1"/>
            </w14:solidFill>
          </w14:textFill>
        </w:rPr>
        <w:t>参保人员可自愿选择在本地或市内其他县（市、区）县级及以下定点医疗机构就医，发生的医疗费用直接划卡结算。参保人员无特殊情况，须持社会保障卡</w:t>
      </w:r>
      <w:r>
        <w:rPr>
          <w:rFonts w:hint="eastAsia" w:ascii="宋体" w:hAnsi="宋体" w:eastAsia="宋体" w:cs="宋体"/>
          <w:i w:val="0"/>
          <w:iCs w:val="0"/>
          <w:caps w:val="0"/>
          <w:color w:val="000000" w:themeColor="text1"/>
          <w:spacing w:val="0"/>
          <w:sz w:val="21"/>
          <w:szCs w:val="21"/>
          <w:lang w:val="en-US" w:eastAsia="zh-CN"/>
          <w14:textFill>
            <w14:solidFill>
              <w14:schemeClr w14:val="tx1"/>
            </w14:solidFill>
          </w14:textFill>
        </w:rPr>
        <w:t>或医保电子凭证</w:t>
      </w:r>
      <w:r>
        <w:rPr>
          <w:rFonts w:hint="eastAsia" w:ascii="宋体" w:hAnsi="宋体" w:eastAsia="宋体" w:cs="宋体"/>
          <w:i w:val="0"/>
          <w:iCs w:val="0"/>
          <w:caps w:val="0"/>
          <w:color w:val="000000" w:themeColor="text1"/>
          <w:spacing w:val="0"/>
          <w:sz w:val="21"/>
          <w:szCs w:val="21"/>
          <w14:textFill>
            <w14:solidFill>
              <w14:schemeClr w14:val="tx1"/>
            </w14:solidFill>
          </w14:textFill>
        </w:rPr>
        <w:t>就医，发生的医疗费用按规定予以报销，普通疾病、慢性病、特殊病医疗待遇不重复享受</w:t>
      </w:r>
      <w:r>
        <w:rPr>
          <w:rFonts w:hint="eastAsia" w:ascii="宋体" w:hAnsi="宋体" w:eastAsia="宋体" w:cs="宋体"/>
          <w:i w:val="0"/>
          <w:iCs w:val="0"/>
          <w:caps w:val="0"/>
          <w:color w:val="000000" w:themeColor="text1"/>
          <w:spacing w:val="0"/>
          <w:sz w:val="21"/>
          <w:szCs w:val="21"/>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lang w:val="en-US" w:eastAsia="zh-CN"/>
          <w14:textFill>
            <w14:solidFill>
              <w14:schemeClr w14:val="tx1"/>
            </w14:solidFill>
          </w14:textFill>
        </w:rPr>
        <w:t>年度累计纳入报销的医疗费用最高限额为53万元。</w:t>
      </w:r>
    </w:p>
    <w:p w14:paraId="4D0D9A89">
      <w:pPr>
        <w:pStyle w:val="3"/>
        <w:keepNext w:val="0"/>
        <w:keepLines w:val="0"/>
        <w:widowControl/>
        <w:suppressLineNumbers w:val="0"/>
        <w:spacing w:before="0" w:beforeAutospacing="0" w:after="150" w:afterAutospacing="0"/>
        <w:ind w:left="0" w:right="0" w:firstLine="420" w:firstLineChars="200"/>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参保人员因特殊情况不能持社会保障卡结算的，个人所垫付的费用在票据产生之日到次年三月底前申请报销。</w:t>
      </w:r>
    </w:p>
    <w:p w14:paraId="05067CD1">
      <w:pPr>
        <w:pStyle w:val="3"/>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rPr>
        <w:t>三、职工医疗保险门诊待遇</w:t>
      </w:r>
    </w:p>
    <w:tbl>
      <w:tblPr>
        <w:tblStyle w:val="4"/>
        <w:tblW w:w="86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50"/>
        <w:gridCol w:w="1170"/>
        <w:gridCol w:w="1635"/>
        <w:gridCol w:w="1065"/>
        <w:gridCol w:w="2325"/>
        <w:gridCol w:w="1380"/>
      </w:tblGrid>
      <w:tr w14:paraId="0C346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trPr>
        <w:tc>
          <w:tcPr>
            <w:tcW w:w="1050" w:type="dxa"/>
            <w:tcBorders>
              <w:top w:val="single" w:color="FFFFFF" w:sz="6" w:space="0"/>
              <w:left w:val="single" w:color="FFFFFF" w:sz="6" w:space="0"/>
              <w:bottom w:val="single" w:color="FFFFFF" w:sz="18" w:space="0"/>
              <w:right w:val="single" w:color="FFFFFF" w:sz="6" w:space="0"/>
            </w:tcBorders>
            <w:shd w:val="clear" w:color="auto" w:fill="4F81BD"/>
            <w:tcMar>
              <w:top w:w="75" w:type="dxa"/>
              <w:left w:w="180" w:type="dxa"/>
              <w:bottom w:w="75" w:type="dxa"/>
              <w:right w:w="180" w:type="dxa"/>
            </w:tcMar>
            <w:vAlign w:val="center"/>
          </w:tcPr>
          <w:p w14:paraId="3673205E">
            <w:pPr>
              <w:keepNext w:val="0"/>
              <w:keepLines w:val="0"/>
              <w:widowControl/>
              <w:suppressLineNumbers w:val="0"/>
              <w:jc w:val="left"/>
            </w:pPr>
          </w:p>
        </w:tc>
        <w:tc>
          <w:tcPr>
            <w:tcW w:w="1170" w:type="dxa"/>
            <w:tcBorders>
              <w:top w:val="single" w:color="FFFFFF" w:sz="6" w:space="0"/>
              <w:left w:val="single" w:color="FFFFFF" w:sz="6" w:space="0"/>
              <w:bottom w:val="single" w:color="FFFFFF" w:sz="18" w:space="0"/>
              <w:right w:val="single" w:color="FFFFFF" w:sz="6" w:space="0"/>
            </w:tcBorders>
            <w:shd w:val="clear" w:color="auto" w:fill="4F81BD"/>
            <w:tcMar>
              <w:top w:w="75" w:type="dxa"/>
              <w:left w:w="180" w:type="dxa"/>
              <w:bottom w:w="75" w:type="dxa"/>
              <w:right w:w="180" w:type="dxa"/>
            </w:tcMar>
            <w:vAlign w:val="center"/>
          </w:tcPr>
          <w:p w14:paraId="68C9E4A3">
            <w:pPr>
              <w:pStyle w:val="3"/>
              <w:keepNext w:val="0"/>
              <w:keepLines w:val="0"/>
              <w:widowControl/>
              <w:suppressLineNumbers w:val="0"/>
              <w:shd w:val="clear" w:fill="4F81BD"/>
              <w:spacing w:before="0" w:beforeAutospacing="0" w:after="150" w:afterAutospacing="0"/>
              <w:ind w:left="0" w:right="0"/>
            </w:pPr>
            <w:r>
              <w:rPr>
                <w:rStyle w:val="6"/>
                <w:rFonts w:hint="eastAsia" w:ascii="宋体" w:hAnsi="宋体" w:eastAsia="宋体" w:cs="宋体"/>
                <w:b/>
                <w:bCs/>
                <w:color w:val="FFFFFF"/>
                <w:shd w:val="clear" w:fill="4F81BD"/>
              </w:rPr>
              <w:t>个人账户支付</w:t>
            </w:r>
          </w:p>
        </w:tc>
        <w:tc>
          <w:tcPr>
            <w:tcW w:w="1635" w:type="dxa"/>
            <w:tcBorders>
              <w:top w:val="single" w:color="FFFFFF" w:sz="6" w:space="0"/>
              <w:left w:val="single" w:color="FFFFFF" w:sz="6" w:space="0"/>
              <w:bottom w:val="single" w:color="FFFFFF" w:sz="18" w:space="0"/>
              <w:right w:val="single" w:color="FFFFFF" w:sz="6" w:space="0"/>
            </w:tcBorders>
            <w:shd w:val="clear" w:color="auto" w:fill="4F81BD"/>
            <w:tcMar>
              <w:top w:w="75" w:type="dxa"/>
              <w:left w:w="180" w:type="dxa"/>
              <w:bottom w:w="75" w:type="dxa"/>
              <w:right w:w="180" w:type="dxa"/>
            </w:tcMar>
            <w:vAlign w:val="center"/>
          </w:tcPr>
          <w:p w14:paraId="36C13459">
            <w:pPr>
              <w:pStyle w:val="3"/>
              <w:keepNext w:val="0"/>
              <w:keepLines w:val="0"/>
              <w:widowControl/>
              <w:suppressLineNumbers w:val="0"/>
              <w:shd w:val="clear" w:fill="4F81BD"/>
              <w:spacing w:before="0" w:beforeAutospacing="0" w:after="150" w:afterAutospacing="0"/>
              <w:ind w:left="0" w:right="0"/>
            </w:pPr>
            <w:r>
              <w:rPr>
                <w:rStyle w:val="6"/>
                <w:rFonts w:hint="eastAsia" w:ascii="宋体" w:hAnsi="宋体" w:eastAsia="宋体" w:cs="宋体"/>
                <w:b/>
                <w:bCs/>
                <w:color w:val="FFFFFF"/>
                <w:shd w:val="clear" w:fill="4F81BD"/>
              </w:rPr>
              <w:t>起付标准</w:t>
            </w:r>
          </w:p>
        </w:tc>
        <w:tc>
          <w:tcPr>
            <w:tcW w:w="3390" w:type="dxa"/>
            <w:gridSpan w:val="2"/>
            <w:tcBorders>
              <w:top w:val="single" w:color="FFFFFF" w:sz="6" w:space="0"/>
              <w:left w:val="single" w:color="FFFFFF" w:sz="6" w:space="0"/>
              <w:bottom w:val="single" w:color="FFFFFF" w:sz="18" w:space="0"/>
              <w:right w:val="single" w:color="FFFFFF" w:sz="6" w:space="0"/>
            </w:tcBorders>
            <w:shd w:val="clear" w:color="auto" w:fill="4F81BD"/>
            <w:tcMar>
              <w:top w:w="75" w:type="dxa"/>
              <w:left w:w="180" w:type="dxa"/>
              <w:bottom w:w="75" w:type="dxa"/>
              <w:right w:w="180" w:type="dxa"/>
            </w:tcMar>
            <w:vAlign w:val="center"/>
          </w:tcPr>
          <w:p w14:paraId="76E0A99F">
            <w:pPr>
              <w:pStyle w:val="3"/>
              <w:keepNext w:val="0"/>
              <w:keepLines w:val="0"/>
              <w:widowControl/>
              <w:suppressLineNumbers w:val="0"/>
              <w:shd w:val="clear" w:fill="4F81BD"/>
              <w:spacing w:before="0" w:beforeAutospacing="0" w:after="150" w:afterAutospacing="0"/>
              <w:ind w:left="0" w:right="0"/>
            </w:pPr>
            <w:r>
              <w:rPr>
                <w:rStyle w:val="6"/>
                <w:rFonts w:hint="eastAsia" w:ascii="宋体" w:hAnsi="宋体" w:eastAsia="宋体" w:cs="宋体"/>
                <w:b/>
                <w:bCs/>
                <w:color w:val="FFFFFF"/>
                <w:shd w:val="clear" w:fill="4F81BD"/>
              </w:rPr>
              <w:t>     医保补偿</w:t>
            </w:r>
          </w:p>
        </w:tc>
        <w:tc>
          <w:tcPr>
            <w:tcW w:w="1380" w:type="dxa"/>
            <w:tcBorders>
              <w:top w:val="single" w:color="FFFFFF" w:sz="6" w:space="0"/>
              <w:left w:val="single" w:color="FFFFFF" w:sz="6" w:space="0"/>
              <w:bottom w:val="single" w:color="FFFFFF" w:sz="18" w:space="0"/>
              <w:right w:val="single" w:color="FFFFFF" w:sz="6" w:space="0"/>
            </w:tcBorders>
            <w:shd w:val="clear" w:color="auto" w:fill="4F81BD"/>
            <w:tcMar>
              <w:top w:w="75" w:type="dxa"/>
              <w:left w:w="180" w:type="dxa"/>
              <w:bottom w:w="75" w:type="dxa"/>
              <w:right w:w="180" w:type="dxa"/>
            </w:tcMar>
            <w:vAlign w:val="center"/>
          </w:tcPr>
          <w:p w14:paraId="232B3259">
            <w:pPr>
              <w:pStyle w:val="3"/>
              <w:keepNext w:val="0"/>
              <w:keepLines w:val="0"/>
              <w:widowControl/>
              <w:suppressLineNumbers w:val="0"/>
              <w:shd w:val="clear" w:fill="4F81BD"/>
              <w:spacing w:before="0" w:beforeAutospacing="0" w:after="150" w:afterAutospacing="0"/>
              <w:ind w:left="0" w:right="0"/>
            </w:pPr>
            <w:r>
              <w:rPr>
                <w:rStyle w:val="6"/>
                <w:rFonts w:hint="eastAsia" w:ascii="宋体" w:hAnsi="宋体" w:eastAsia="宋体" w:cs="宋体"/>
                <w:b/>
                <w:bCs/>
                <w:color w:val="FFFFFF"/>
                <w:shd w:val="clear" w:fill="4F81BD"/>
              </w:rPr>
              <w:t>补偿限额</w:t>
            </w:r>
          </w:p>
        </w:tc>
      </w:tr>
      <w:tr w14:paraId="2F469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90" w:hRule="atLeast"/>
        </w:trPr>
        <w:tc>
          <w:tcPr>
            <w:tcW w:w="1050" w:type="dxa"/>
            <w:tcBorders>
              <w:top w:val="single" w:color="FFFFFF" w:sz="18" w:space="0"/>
              <w:left w:val="single" w:color="FFFFFF" w:sz="6" w:space="0"/>
              <w:bottom w:val="single" w:color="FFFFFF" w:sz="6" w:space="0"/>
              <w:right w:val="single" w:color="FFFFFF" w:sz="6" w:space="0"/>
            </w:tcBorders>
            <w:shd w:val="clear" w:color="auto" w:fill="D0D8E8"/>
            <w:tcMar>
              <w:top w:w="0" w:type="dxa"/>
              <w:left w:w="0" w:type="dxa"/>
              <w:bottom w:w="0" w:type="dxa"/>
              <w:right w:w="0" w:type="dxa"/>
            </w:tcMar>
            <w:vAlign w:val="center"/>
          </w:tcPr>
          <w:p w14:paraId="61FD1D1C">
            <w:pPr>
              <w:pStyle w:val="3"/>
              <w:keepNext w:val="0"/>
              <w:keepLines w:val="0"/>
              <w:widowControl/>
              <w:suppressLineNumbers w:val="0"/>
              <w:shd w:val="clear" w:fill="D0D8E8"/>
              <w:spacing w:before="0" w:beforeAutospacing="0" w:after="150" w:afterAutospacing="0"/>
              <w:ind w:left="0" w:right="0"/>
            </w:pPr>
            <w:r>
              <w:rPr>
                <w:rFonts w:hint="eastAsia" w:ascii="宋体" w:hAnsi="宋体" w:eastAsia="宋体" w:cs="宋体"/>
                <w:color w:val="000000"/>
                <w:shd w:val="clear" w:fill="D0D8E8"/>
              </w:rPr>
              <w:t>普通门诊</w:t>
            </w:r>
          </w:p>
        </w:tc>
        <w:tc>
          <w:tcPr>
            <w:tcW w:w="1170" w:type="dxa"/>
            <w:vMerge w:val="restart"/>
            <w:tcBorders>
              <w:top w:val="single" w:color="FFFFFF" w:sz="18" w:space="0"/>
              <w:left w:val="single" w:color="FFFFFF" w:sz="6" w:space="0"/>
              <w:bottom w:val="single" w:color="FFFFFF" w:sz="6" w:space="0"/>
              <w:right w:val="single" w:color="FFFFFF" w:sz="6" w:space="0"/>
            </w:tcBorders>
            <w:shd w:val="clear" w:color="auto" w:fill="D0D8E8"/>
            <w:tcMar>
              <w:top w:w="0" w:type="dxa"/>
              <w:left w:w="0" w:type="dxa"/>
              <w:bottom w:w="0" w:type="dxa"/>
              <w:right w:w="0" w:type="dxa"/>
            </w:tcMar>
            <w:vAlign w:val="center"/>
          </w:tcPr>
          <w:p w14:paraId="6C6D014E">
            <w:pPr>
              <w:pStyle w:val="3"/>
              <w:keepNext w:val="0"/>
              <w:keepLines w:val="0"/>
              <w:widowControl/>
              <w:suppressLineNumbers w:val="0"/>
              <w:shd w:val="clear" w:fill="D0D8E8"/>
              <w:spacing w:before="0" w:beforeAutospacing="0" w:after="150" w:afterAutospacing="0"/>
              <w:ind w:left="0" w:right="0"/>
            </w:pPr>
          </w:p>
        </w:tc>
        <w:tc>
          <w:tcPr>
            <w:tcW w:w="1635" w:type="dxa"/>
            <w:tcBorders>
              <w:top w:val="single" w:color="FFFFFF" w:sz="18" w:space="0"/>
              <w:left w:val="single" w:color="FFFFFF" w:sz="6" w:space="0"/>
              <w:bottom w:val="single" w:color="FFFFFF" w:sz="6" w:space="0"/>
              <w:right w:val="single" w:color="FFFFFF" w:sz="6" w:space="0"/>
            </w:tcBorders>
            <w:shd w:val="clear" w:color="auto" w:fill="D0D8E8"/>
            <w:tcMar>
              <w:top w:w="0" w:type="dxa"/>
              <w:left w:w="0" w:type="dxa"/>
              <w:bottom w:w="0" w:type="dxa"/>
              <w:right w:w="0" w:type="dxa"/>
            </w:tcMar>
            <w:vAlign w:val="center"/>
          </w:tcPr>
          <w:p w14:paraId="62ABC46A">
            <w:pPr>
              <w:pStyle w:val="3"/>
              <w:keepNext w:val="0"/>
              <w:keepLines w:val="0"/>
              <w:widowControl/>
              <w:suppressLineNumbers w:val="0"/>
              <w:shd w:val="clear" w:fill="D0D8E8"/>
              <w:spacing w:before="0" w:beforeAutospacing="0" w:after="150" w:afterAutospacing="0"/>
              <w:ind w:left="0" w:right="0"/>
              <w:rPr>
                <w:rFonts w:hint="eastAsia" w:ascii="宋体" w:hAnsi="宋体" w:eastAsia="宋体" w:cs="宋体"/>
                <w:color w:val="000000"/>
                <w:shd w:val="clear" w:fill="D0D8E8"/>
                <w:lang w:val="en-US" w:eastAsia="zh-CN"/>
              </w:rPr>
            </w:pPr>
            <w:r>
              <w:rPr>
                <w:rFonts w:hint="eastAsia" w:ascii="宋体" w:hAnsi="宋体" w:eastAsia="宋体" w:cs="宋体"/>
                <w:color w:val="000000"/>
                <w:shd w:val="clear" w:fill="D0D8E8"/>
                <w:lang w:val="en-US" w:eastAsia="zh-CN"/>
              </w:rPr>
              <w:t>在职700元</w:t>
            </w:r>
          </w:p>
          <w:p w14:paraId="5278B6E8">
            <w:pPr>
              <w:pStyle w:val="3"/>
              <w:keepNext w:val="0"/>
              <w:keepLines w:val="0"/>
              <w:widowControl/>
              <w:suppressLineNumbers w:val="0"/>
              <w:shd w:val="clear" w:fill="D0D8E8"/>
              <w:spacing w:before="0" w:beforeAutospacing="0" w:after="150" w:afterAutospacing="0"/>
              <w:ind w:left="0" w:right="0"/>
              <w:rPr>
                <w:rFonts w:hint="eastAsia" w:eastAsiaTheme="minorEastAsia"/>
                <w:lang w:val="en-US" w:eastAsia="zh-CN"/>
              </w:rPr>
            </w:pPr>
            <w:r>
              <w:rPr>
                <w:rFonts w:hint="eastAsia" w:ascii="宋体" w:hAnsi="宋体" w:eastAsia="宋体" w:cs="宋体"/>
                <w:color w:val="000000"/>
                <w:shd w:val="clear" w:fill="D0D8E8"/>
                <w:lang w:val="en-US" w:eastAsia="zh-CN"/>
              </w:rPr>
              <w:t>退休300元</w:t>
            </w:r>
          </w:p>
        </w:tc>
        <w:tc>
          <w:tcPr>
            <w:tcW w:w="1065" w:type="dxa"/>
            <w:tcBorders>
              <w:top w:val="single" w:color="FFFFFF" w:sz="18" w:space="0"/>
              <w:left w:val="single" w:color="FFFFFF" w:sz="6" w:space="0"/>
              <w:bottom w:val="single" w:color="FFFFFF" w:sz="6" w:space="0"/>
              <w:right w:val="single" w:color="FFFFFF" w:sz="6" w:space="0"/>
            </w:tcBorders>
            <w:shd w:val="clear" w:color="auto" w:fill="D0D8E8"/>
            <w:tcMar>
              <w:top w:w="0" w:type="dxa"/>
              <w:left w:w="0" w:type="dxa"/>
              <w:bottom w:w="0" w:type="dxa"/>
              <w:right w:w="0" w:type="dxa"/>
            </w:tcMar>
            <w:vAlign w:val="center"/>
          </w:tcPr>
          <w:p w14:paraId="25273E44">
            <w:pPr>
              <w:pStyle w:val="3"/>
              <w:keepNext w:val="0"/>
              <w:keepLines w:val="0"/>
              <w:widowControl/>
              <w:suppressLineNumbers w:val="0"/>
              <w:shd w:val="clear" w:fill="D0D8E8"/>
              <w:spacing w:before="0" w:beforeAutospacing="0" w:after="150" w:afterAutospacing="0"/>
              <w:ind w:left="0" w:right="0"/>
            </w:pPr>
            <w:r>
              <w:rPr>
                <w:rFonts w:hint="eastAsia" w:ascii="宋体" w:hAnsi="宋体" w:eastAsia="宋体" w:cs="宋体"/>
                <w:color w:val="000000"/>
                <w:shd w:val="clear" w:fill="D0D8E8"/>
              </w:rPr>
              <w:t>门诊统筹基金补偿</w:t>
            </w:r>
          </w:p>
        </w:tc>
        <w:tc>
          <w:tcPr>
            <w:tcW w:w="2325" w:type="dxa"/>
            <w:tcBorders>
              <w:top w:val="single" w:color="FFFFFF" w:sz="18" w:space="0"/>
              <w:left w:val="single" w:color="FFFFFF" w:sz="6" w:space="0"/>
              <w:bottom w:val="single" w:color="FFFFFF" w:sz="6" w:space="0"/>
              <w:right w:val="single" w:color="FFFFFF" w:sz="6" w:space="0"/>
            </w:tcBorders>
            <w:shd w:val="clear" w:color="auto" w:fill="D0D8E8"/>
            <w:tcMar>
              <w:top w:w="0" w:type="dxa"/>
              <w:left w:w="0" w:type="dxa"/>
              <w:bottom w:w="0" w:type="dxa"/>
              <w:right w:w="0" w:type="dxa"/>
            </w:tcMar>
            <w:vAlign w:val="center"/>
          </w:tcPr>
          <w:p w14:paraId="05F22AF5">
            <w:pPr>
              <w:pStyle w:val="3"/>
              <w:keepNext w:val="0"/>
              <w:keepLines w:val="0"/>
              <w:widowControl/>
              <w:suppressLineNumbers w:val="0"/>
              <w:shd w:val="clear" w:fill="D0D8E8"/>
              <w:spacing w:before="0" w:beforeAutospacing="0" w:after="150" w:afterAutospacing="0"/>
              <w:ind w:left="0" w:right="0"/>
            </w:pPr>
            <w:r>
              <w:rPr>
                <w:rFonts w:hint="eastAsia" w:ascii="宋体" w:hAnsi="宋体" w:eastAsia="宋体" w:cs="宋体"/>
                <w:color w:val="000000"/>
                <w:shd w:val="clear" w:fill="D0D8E8"/>
              </w:rPr>
              <w:t>一级及以下7</w:t>
            </w:r>
            <w:r>
              <w:rPr>
                <w:rFonts w:hint="eastAsia" w:ascii="宋体" w:hAnsi="宋体" w:eastAsia="宋体" w:cs="宋体"/>
                <w:color w:val="000000"/>
                <w:shd w:val="clear" w:fill="D0D8E8"/>
                <w:lang w:val="en-US" w:eastAsia="zh-CN"/>
              </w:rPr>
              <w:t>5</w:t>
            </w:r>
            <w:r>
              <w:rPr>
                <w:rFonts w:hint="eastAsia" w:ascii="宋体" w:hAnsi="宋体" w:eastAsia="宋体" w:cs="宋体"/>
                <w:color w:val="000000"/>
                <w:shd w:val="clear" w:fill="D0D8E8"/>
              </w:rPr>
              <w:t>% 二级</w:t>
            </w:r>
            <w:r>
              <w:rPr>
                <w:rFonts w:hint="eastAsia" w:ascii="宋体" w:hAnsi="宋体" w:eastAsia="宋体" w:cs="宋体"/>
                <w:color w:val="000000"/>
                <w:shd w:val="clear" w:fill="D0D8E8"/>
                <w:lang w:val="en-US" w:eastAsia="zh-CN"/>
              </w:rPr>
              <w:t>70</w:t>
            </w:r>
            <w:r>
              <w:rPr>
                <w:rFonts w:hint="eastAsia" w:ascii="宋体" w:hAnsi="宋体" w:eastAsia="宋体" w:cs="宋体"/>
                <w:color w:val="000000"/>
                <w:shd w:val="clear" w:fill="D0D8E8"/>
              </w:rPr>
              <w:t>% 三级</w:t>
            </w:r>
            <w:r>
              <w:rPr>
                <w:rFonts w:hint="eastAsia" w:ascii="宋体" w:hAnsi="宋体" w:eastAsia="宋体" w:cs="宋体"/>
                <w:color w:val="000000"/>
                <w:shd w:val="clear" w:fill="D0D8E8"/>
                <w:lang w:val="en-US" w:eastAsia="zh-CN"/>
              </w:rPr>
              <w:t>60</w:t>
            </w:r>
            <w:r>
              <w:rPr>
                <w:rFonts w:hint="eastAsia" w:ascii="宋体" w:hAnsi="宋体" w:eastAsia="宋体" w:cs="宋体"/>
                <w:color w:val="000000"/>
                <w:shd w:val="clear" w:fill="D0D8E8"/>
              </w:rPr>
              <w:t>%</w:t>
            </w:r>
            <w:r>
              <w:rPr>
                <w:rFonts w:hint="eastAsia" w:ascii="宋体" w:hAnsi="宋体" w:eastAsia="宋体" w:cs="宋体"/>
                <w:color w:val="000000"/>
                <w:shd w:val="clear" w:fill="D0D8E8"/>
                <w:lang w:eastAsia="zh-CN"/>
              </w:rPr>
              <w:t>，</w:t>
            </w:r>
            <w:r>
              <w:rPr>
                <w:rFonts w:hint="eastAsia" w:ascii="宋体" w:hAnsi="宋体" w:eastAsia="宋体" w:cs="宋体"/>
                <w:color w:val="000000"/>
                <w:shd w:val="clear" w:fill="D0D8E8"/>
                <w:lang w:val="en-US" w:eastAsia="zh-CN"/>
              </w:rPr>
              <w:t>退休人员支付比例自2023年1月1日起相应提高5个百分点</w:t>
            </w:r>
            <w:r>
              <w:rPr>
                <w:rFonts w:hint="eastAsia" w:ascii="宋体" w:hAnsi="宋体" w:eastAsia="宋体" w:cs="宋体"/>
                <w:color w:val="000000"/>
                <w:shd w:val="clear" w:fill="D0D8E8"/>
              </w:rPr>
              <w:t>。</w:t>
            </w:r>
          </w:p>
        </w:tc>
        <w:tc>
          <w:tcPr>
            <w:tcW w:w="1380" w:type="dxa"/>
            <w:tcBorders>
              <w:top w:val="single" w:color="FFFFFF" w:sz="18" w:space="0"/>
              <w:left w:val="single" w:color="FFFFFF" w:sz="6" w:space="0"/>
              <w:bottom w:val="single" w:color="FFFFFF" w:sz="6" w:space="0"/>
              <w:right w:val="single" w:color="FFFFFF" w:sz="6" w:space="0"/>
            </w:tcBorders>
            <w:shd w:val="clear" w:color="auto" w:fill="D0D8E8"/>
            <w:tcMar>
              <w:top w:w="0" w:type="dxa"/>
              <w:left w:w="0" w:type="dxa"/>
              <w:bottom w:w="0" w:type="dxa"/>
              <w:right w:w="0" w:type="dxa"/>
            </w:tcMar>
            <w:vAlign w:val="center"/>
          </w:tcPr>
          <w:p w14:paraId="5441A7C6">
            <w:pPr>
              <w:pStyle w:val="3"/>
              <w:keepNext w:val="0"/>
              <w:keepLines w:val="0"/>
              <w:widowControl/>
              <w:suppressLineNumbers w:val="0"/>
              <w:shd w:val="clear" w:fill="D0D8E8"/>
              <w:spacing w:before="0" w:beforeAutospacing="0" w:after="150" w:afterAutospacing="0"/>
              <w:ind w:left="0" w:right="0"/>
              <w:rPr>
                <w:rFonts w:hint="eastAsia" w:ascii="宋体" w:hAnsi="宋体" w:eastAsia="宋体" w:cs="宋体"/>
                <w:color w:val="000000"/>
                <w:shd w:val="clear" w:fill="D0D8E8"/>
              </w:rPr>
            </w:pPr>
            <w:r>
              <w:rPr>
                <w:rFonts w:hint="eastAsia" w:ascii="宋体" w:hAnsi="宋体" w:eastAsia="宋体" w:cs="宋体"/>
                <w:color w:val="000000"/>
                <w:shd w:val="clear" w:fill="D0D8E8"/>
                <w:lang w:val="en-US" w:eastAsia="zh-CN"/>
              </w:rPr>
              <w:t>在职6000</w:t>
            </w:r>
            <w:r>
              <w:rPr>
                <w:rFonts w:hint="eastAsia" w:ascii="宋体" w:hAnsi="宋体" w:eastAsia="宋体" w:cs="宋体"/>
                <w:color w:val="000000"/>
                <w:shd w:val="clear" w:fill="D0D8E8"/>
              </w:rPr>
              <w:t>元</w:t>
            </w:r>
          </w:p>
          <w:p w14:paraId="36A171AB">
            <w:pPr>
              <w:pStyle w:val="3"/>
              <w:keepNext w:val="0"/>
              <w:keepLines w:val="0"/>
              <w:widowControl/>
              <w:suppressLineNumbers w:val="0"/>
              <w:shd w:val="clear" w:fill="D0D8E8"/>
              <w:spacing w:before="0" w:beforeAutospacing="0" w:after="150" w:afterAutospacing="0"/>
              <w:ind w:left="0" w:right="0"/>
              <w:rPr>
                <w:rFonts w:hint="eastAsia" w:eastAsia="宋体"/>
                <w:lang w:val="en-US" w:eastAsia="zh-CN"/>
              </w:rPr>
            </w:pPr>
            <w:r>
              <w:rPr>
                <w:rFonts w:hint="eastAsia" w:ascii="宋体" w:hAnsi="宋体" w:eastAsia="宋体" w:cs="宋体"/>
                <w:color w:val="000000"/>
                <w:shd w:val="clear" w:fill="D0D8E8"/>
                <w:lang w:val="en-US" w:eastAsia="zh-CN"/>
              </w:rPr>
              <w:t>退休7000元</w:t>
            </w:r>
          </w:p>
        </w:tc>
      </w:tr>
      <w:tr w14:paraId="0C15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635" w:hRule="atLeast"/>
        </w:trPr>
        <w:tc>
          <w:tcPr>
            <w:tcW w:w="1050" w:type="dxa"/>
            <w:tcBorders>
              <w:top w:val="single" w:color="FFFFFF" w:sz="6" w:space="0"/>
              <w:left w:val="single" w:color="FFFFFF" w:sz="6" w:space="0"/>
              <w:bottom w:val="single" w:color="FFFFFF" w:sz="6" w:space="0"/>
              <w:right w:val="single" w:color="FFFFFF" w:sz="6" w:space="0"/>
            </w:tcBorders>
            <w:shd w:val="clear" w:color="auto" w:fill="D0D8E8"/>
            <w:tcMar>
              <w:top w:w="75" w:type="dxa"/>
              <w:left w:w="180" w:type="dxa"/>
              <w:bottom w:w="75" w:type="dxa"/>
              <w:right w:w="180" w:type="dxa"/>
            </w:tcMar>
            <w:vAlign w:val="center"/>
          </w:tcPr>
          <w:p w14:paraId="265E0404">
            <w:pPr>
              <w:pStyle w:val="3"/>
              <w:keepNext w:val="0"/>
              <w:keepLines w:val="0"/>
              <w:widowControl/>
              <w:suppressLineNumbers w:val="0"/>
              <w:shd w:val="clear" w:fill="D0D8E8"/>
              <w:spacing w:before="0" w:beforeAutospacing="0" w:after="150" w:afterAutospacing="0"/>
              <w:ind w:left="0" w:right="0"/>
            </w:pPr>
            <w:r>
              <w:rPr>
                <w:rFonts w:hint="eastAsia" w:ascii="宋体" w:hAnsi="宋体" w:eastAsia="宋体" w:cs="宋体"/>
                <w:color w:val="000000"/>
                <w:shd w:val="clear" w:fill="D0D8E8"/>
              </w:rPr>
              <w:t>特殊病</w:t>
            </w:r>
          </w:p>
        </w:tc>
        <w:tc>
          <w:tcPr>
            <w:tcW w:w="1170" w:type="dxa"/>
            <w:vMerge w:val="continue"/>
            <w:tcBorders>
              <w:top w:val="single" w:color="FFFFFF" w:sz="18" w:space="0"/>
              <w:left w:val="single" w:color="FFFFFF" w:sz="6" w:space="0"/>
              <w:bottom w:val="single" w:color="FFFFFF" w:sz="6" w:space="0"/>
              <w:right w:val="single" w:color="FFFFFF" w:sz="6" w:space="0"/>
            </w:tcBorders>
            <w:shd w:val="clear" w:color="auto" w:fill="D0D8E8"/>
            <w:tcMar>
              <w:top w:w="0" w:type="dxa"/>
              <w:left w:w="0" w:type="dxa"/>
              <w:bottom w:w="0" w:type="dxa"/>
              <w:right w:w="0" w:type="dxa"/>
            </w:tcMar>
            <w:vAlign w:val="center"/>
          </w:tcPr>
          <w:p w14:paraId="620A75E5">
            <w:pPr>
              <w:rPr>
                <w:rFonts w:hint="eastAsia" w:ascii="宋体"/>
                <w:sz w:val="24"/>
                <w:szCs w:val="24"/>
              </w:rPr>
            </w:pPr>
          </w:p>
        </w:tc>
        <w:tc>
          <w:tcPr>
            <w:tcW w:w="1635" w:type="dxa"/>
            <w:tcBorders>
              <w:top w:val="single" w:color="FFFFFF" w:sz="6" w:space="0"/>
              <w:left w:val="single" w:color="FFFFFF" w:sz="6" w:space="0"/>
              <w:bottom w:val="single" w:color="FFFFFF" w:sz="6" w:space="0"/>
              <w:right w:val="single" w:color="FFFFFF" w:sz="6" w:space="0"/>
            </w:tcBorders>
            <w:shd w:val="clear" w:color="auto" w:fill="D0D8E8"/>
            <w:tcMar>
              <w:top w:w="75" w:type="dxa"/>
              <w:left w:w="180" w:type="dxa"/>
              <w:bottom w:w="75" w:type="dxa"/>
              <w:right w:w="180" w:type="dxa"/>
            </w:tcMar>
            <w:vAlign w:val="center"/>
          </w:tcPr>
          <w:p w14:paraId="63000D71">
            <w:pPr>
              <w:pStyle w:val="3"/>
              <w:keepNext w:val="0"/>
              <w:keepLines w:val="0"/>
              <w:widowControl/>
              <w:suppressLineNumbers w:val="0"/>
              <w:shd w:val="clear" w:fill="D0D8E8"/>
              <w:spacing w:before="0" w:beforeAutospacing="0" w:after="150" w:afterAutospacing="0"/>
              <w:ind w:left="0" w:right="0"/>
            </w:pPr>
            <w:r>
              <w:rPr>
                <w:rFonts w:hint="eastAsia" w:ascii="宋体" w:hAnsi="宋体" w:eastAsia="宋体" w:cs="宋体"/>
                <w:color w:val="000000"/>
                <w:shd w:val="clear" w:fill="D0D8E8"/>
              </w:rPr>
              <w:t>0元</w:t>
            </w:r>
          </w:p>
        </w:tc>
        <w:tc>
          <w:tcPr>
            <w:tcW w:w="1065" w:type="dxa"/>
            <w:tcBorders>
              <w:top w:val="single" w:color="FFFFFF" w:sz="6" w:space="0"/>
              <w:left w:val="single" w:color="FFFFFF" w:sz="6" w:space="0"/>
              <w:bottom w:val="single" w:color="FFFFFF" w:sz="6" w:space="0"/>
              <w:right w:val="single" w:color="FFFFFF" w:sz="6" w:space="0"/>
            </w:tcBorders>
            <w:shd w:val="clear" w:color="auto" w:fill="E9EDF4"/>
            <w:tcMar>
              <w:top w:w="0" w:type="dxa"/>
              <w:left w:w="0" w:type="dxa"/>
              <w:bottom w:w="0" w:type="dxa"/>
              <w:right w:w="0" w:type="dxa"/>
            </w:tcMar>
            <w:vAlign w:val="center"/>
          </w:tcPr>
          <w:p w14:paraId="2C1EA8CF">
            <w:pPr>
              <w:rPr>
                <w:rFonts w:hint="eastAsia" w:ascii="宋体"/>
                <w:sz w:val="24"/>
                <w:szCs w:val="24"/>
              </w:rPr>
            </w:pPr>
          </w:p>
        </w:tc>
        <w:tc>
          <w:tcPr>
            <w:tcW w:w="2325" w:type="dxa"/>
            <w:tcBorders>
              <w:top w:val="single" w:color="FFFFFF" w:sz="6" w:space="0"/>
              <w:left w:val="single" w:color="FFFFFF" w:sz="6" w:space="0"/>
              <w:bottom w:val="single" w:color="FFFFFF" w:sz="6" w:space="0"/>
              <w:right w:val="single" w:color="FFFFFF" w:sz="6" w:space="0"/>
            </w:tcBorders>
            <w:shd w:val="clear" w:color="auto" w:fill="D0D8E8"/>
            <w:tcMar>
              <w:top w:w="75" w:type="dxa"/>
              <w:left w:w="180" w:type="dxa"/>
              <w:bottom w:w="75" w:type="dxa"/>
              <w:right w:w="180" w:type="dxa"/>
            </w:tcMar>
            <w:vAlign w:val="center"/>
          </w:tcPr>
          <w:p w14:paraId="6F48497E">
            <w:pPr>
              <w:pStyle w:val="3"/>
              <w:keepNext w:val="0"/>
              <w:keepLines w:val="0"/>
              <w:widowControl/>
              <w:suppressLineNumbers w:val="0"/>
              <w:shd w:val="clear" w:fill="D0D8E8"/>
              <w:spacing w:before="0" w:beforeAutospacing="0" w:after="150" w:afterAutospacing="0"/>
              <w:ind w:left="0" w:right="0"/>
              <w:rPr>
                <w:rFonts w:hint="eastAsia" w:eastAsiaTheme="minorEastAsia"/>
                <w:lang w:val="en-US" w:eastAsia="zh-CN"/>
              </w:rPr>
            </w:pPr>
            <w:r>
              <w:rPr>
                <w:rFonts w:hint="eastAsia" w:ascii="宋体" w:hAnsi="宋体" w:eastAsia="宋体" w:cs="宋体"/>
                <w:color w:val="000000"/>
                <w:shd w:val="clear" w:fill="D0D8E8"/>
                <w:lang w:val="en-US" w:eastAsia="zh-CN"/>
              </w:rPr>
              <w:t>按同级别医疗机构住院报销比例执行</w:t>
            </w:r>
          </w:p>
        </w:tc>
        <w:tc>
          <w:tcPr>
            <w:tcW w:w="1380" w:type="dxa"/>
            <w:tcBorders>
              <w:top w:val="single" w:color="FFFFFF" w:sz="6" w:space="0"/>
              <w:left w:val="single" w:color="FFFFFF" w:sz="6" w:space="0"/>
              <w:bottom w:val="single" w:color="FFFFFF" w:sz="6" w:space="0"/>
              <w:right w:val="single" w:color="FFFFFF" w:sz="6" w:space="0"/>
            </w:tcBorders>
            <w:shd w:val="clear" w:color="auto" w:fill="D0D8E8"/>
            <w:tcMar>
              <w:top w:w="75" w:type="dxa"/>
              <w:left w:w="180" w:type="dxa"/>
              <w:bottom w:w="75" w:type="dxa"/>
              <w:right w:w="180" w:type="dxa"/>
            </w:tcMar>
            <w:vAlign w:val="center"/>
          </w:tcPr>
          <w:p w14:paraId="0186EB11">
            <w:pPr>
              <w:pStyle w:val="3"/>
              <w:keepNext w:val="0"/>
              <w:keepLines w:val="0"/>
              <w:widowControl/>
              <w:suppressLineNumbers w:val="0"/>
              <w:shd w:val="clear" w:fill="D0D8E8"/>
              <w:spacing w:before="0" w:beforeAutospacing="0" w:after="150" w:afterAutospacing="0"/>
              <w:ind w:left="0" w:right="0"/>
            </w:pPr>
            <w:r>
              <w:rPr>
                <w:rFonts w:hint="eastAsia" w:ascii="宋体" w:hAnsi="宋体" w:eastAsia="宋体" w:cs="宋体"/>
                <w:color w:val="000000"/>
                <w:shd w:val="clear" w:fill="D0D8E8"/>
              </w:rPr>
              <w:t>按各地原有标准执行</w:t>
            </w:r>
          </w:p>
        </w:tc>
      </w:tr>
    </w:tbl>
    <w:p w14:paraId="0C7F59BC">
      <w:pPr>
        <w:pStyle w:val="3"/>
        <w:keepNext w:val="0"/>
        <w:keepLines w:val="0"/>
        <w:widowControl/>
        <w:suppressLineNumbers w:val="0"/>
        <w:spacing w:before="0" w:beforeAutospacing="0" w:after="150" w:afterAutospacing="0"/>
        <w:ind w:left="0" w:right="0"/>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特殊病：恶性肿瘤（放疗、化疗、介入治疗、生物靶向药物治疗、内分泌治疗）、慢性肾功能衰竭（血液透析、腹膜透析、非透析治疗）、严重精神障碍</w:t>
      </w:r>
      <w:r>
        <w:rPr>
          <w:rFonts w:hint="default" w:ascii="宋体" w:hAnsi="宋体" w:eastAsia="宋体" w:cs="宋体"/>
          <w:i w:val="0"/>
          <w:iCs w:val="0"/>
          <w:caps w:val="0"/>
          <w:color w:val="333333"/>
          <w:spacing w:val="0"/>
          <w:sz w:val="21"/>
          <w:szCs w:val="21"/>
        </w:rPr>
        <w:t>(</w:t>
      </w:r>
      <w:r>
        <w:rPr>
          <w:rFonts w:hint="eastAsia" w:ascii="宋体" w:hAnsi="宋体" w:eastAsia="宋体" w:cs="宋体"/>
          <w:i w:val="0"/>
          <w:iCs w:val="0"/>
          <w:caps w:val="0"/>
          <w:color w:val="333333"/>
          <w:spacing w:val="0"/>
          <w:sz w:val="21"/>
          <w:szCs w:val="21"/>
        </w:rPr>
        <w:t>精神分裂症、分裂情感性障碍、双向情感障碍、癫痫所致精神障碍、精神发育迟滞伴发精神障碍、其他严重精神障碍类疾病）、抑郁症</w:t>
      </w:r>
      <w:r>
        <w:rPr>
          <w:rFonts w:hint="default" w:ascii="宋体" w:hAnsi="宋体" w:eastAsia="宋体" w:cs="宋体"/>
          <w:i w:val="0"/>
          <w:iCs w:val="0"/>
          <w:caps w:val="0"/>
          <w:color w:val="333333"/>
          <w:spacing w:val="0"/>
          <w:sz w:val="21"/>
          <w:szCs w:val="21"/>
        </w:rPr>
        <w:t>(</w:t>
      </w:r>
      <w:r>
        <w:rPr>
          <w:rFonts w:hint="eastAsia" w:ascii="宋体" w:hAnsi="宋体" w:eastAsia="宋体" w:cs="宋体"/>
          <w:i w:val="0"/>
          <w:iCs w:val="0"/>
          <w:caps w:val="0"/>
          <w:color w:val="333333"/>
          <w:spacing w:val="0"/>
          <w:sz w:val="21"/>
          <w:szCs w:val="21"/>
        </w:rPr>
        <w:t>经过专科住院治疗）、血友病、器官移植术后抗排异治疗、再生障碍性贫血、系统性红斑狼疮、肺结核、肾病综合征、慢性乙型肝炎、肝硬化、脑卒中恢复期（</w:t>
      </w:r>
      <w:r>
        <w:rPr>
          <w:rFonts w:hint="default" w:ascii="宋体" w:hAnsi="宋体" w:eastAsia="宋体" w:cs="宋体"/>
          <w:i w:val="0"/>
          <w:iCs w:val="0"/>
          <w:caps w:val="0"/>
          <w:color w:val="333333"/>
          <w:spacing w:val="0"/>
          <w:sz w:val="21"/>
          <w:szCs w:val="21"/>
        </w:rPr>
        <w:t>2</w:t>
      </w:r>
      <w:r>
        <w:rPr>
          <w:rFonts w:hint="eastAsia" w:ascii="宋体" w:hAnsi="宋体" w:eastAsia="宋体" w:cs="宋体"/>
          <w:i w:val="0"/>
          <w:iCs w:val="0"/>
          <w:caps w:val="0"/>
          <w:color w:val="333333"/>
          <w:spacing w:val="0"/>
          <w:sz w:val="21"/>
          <w:szCs w:val="21"/>
        </w:rPr>
        <w:t>年内）、帕金森病、重症肌无力、类风湿病、强直性脊柱炎、皮肌炎、免疫性血小板减少症、骨髓增生异常综合症、自身免疫性肝病、克罗恩病、干燥综合症、垂体瘤、远动神经元病、多发性肌炎、儿童</w:t>
      </w:r>
      <w:r>
        <w:rPr>
          <w:rFonts w:hint="default" w:ascii="宋体" w:hAnsi="宋体" w:eastAsia="宋体" w:cs="宋体"/>
          <w:i w:val="0"/>
          <w:iCs w:val="0"/>
          <w:caps w:val="0"/>
          <w:color w:val="333333"/>
          <w:spacing w:val="0"/>
          <w:sz w:val="21"/>
          <w:szCs w:val="21"/>
        </w:rPr>
        <w:t>I</w:t>
      </w:r>
      <w:r>
        <w:rPr>
          <w:rFonts w:hint="eastAsia" w:ascii="宋体" w:hAnsi="宋体" w:eastAsia="宋体" w:cs="宋体"/>
          <w:i w:val="0"/>
          <w:iCs w:val="0"/>
          <w:caps w:val="0"/>
          <w:color w:val="333333"/>
          <w:spacing w:val="0"/>
          <w:sz w:val="21"/>
          <w:szCs w:val="21"/>
        </w:rPr>
        <w:t>型糖尿病、儿童孤独症、儿童生长激素缺乏症、进行性肌营养不良。</w:t>
      </w:r>
    </w:p>
    <w:p w14:paraId="56D9EE21">
      <w:pPr>
        <w:pStyle w:val="3"/>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rPr>
        <w:t>四、职工医疗保险住院待遇：</w:t>
      </w:r>
    </w:p>
    <w:p w14:paraId="763A1B60">
      <w:pPr>
        <w:pStyle w:val="3"/>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rPr>
        <w:t>医疗保险范围内的住院费用实行年度累计分段报销方法，具体如下：</w:t>
      </w:r>
    </w:p>
    <w:p w14:paraId="7BE0C5F2">
      <w:pPr>
        <w:pStyle w:val="3"/>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000000" w:themeColor="text1"/>
          <w:spacing w:val="0"/>
          <w:sz w:val="21"/>
          <w:szCs w:val="21"/>
          <w14:textFill>
            <w14:solidFill>
              <w14:schemeClr w14:val="tx1"/>
            </w14:solidFill>
          </w14:textFill>
        </w:rPr>
        <w:t>医保报销</w:t>
      </w:r>
      <w:r>
        <w:rPr>
          <w:rFonts w:hint="eastAsia" w:ascii="宋体" w:hAnsi="宋体" w:eastAsia="宋体" w:cs="宋体"/>
          <w:i w:val="0"/>
          <w:iCs w:val="0"/>
          <w:caps w:val="0"/>
          <w:color w:val="000000" w:themeColor="text1"/>
          <w:spacing w:val="0"/>
          <w:sz w:val="21"/>
          <w:szCs w:val="21"/>
          <w:lang w:val="en-US" w:eastAsia="zh-CN"/>
          <w14:textFill>
            <w14:solidFill>
              <w14:schemeClr w14:val="tx1"/>
            </w14:solidFill>
          </w14:textFill>
        </w:rPr>
        <w:t>金额</w:t>
      </w:r>
      <w:r>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t>=</w:t>
      </w:r>
      <w:r>
        <w:rPr>
          <w:rFonts w:hint="eastAsia" w:ascii="宋体" w:hAnsi="宋体" w:eastAsia="宋体" w:cs="宋体"/>
          <w:i w:val="0"/>
          <w:iCs w:val="0"/>
          <w:caps w:val="0"/>
          <w:color w:val="000000" w:themeColor="text1"/>
          <w:spacing w:val="0"/>
          <w:sz w:val="21"/>
          <w:szCs w:val="21"/>
          <w14:textFill>
            <w14:solidFill>
              <w14:schemeClr w14:val="tx1"/>
            </w14:solidFill>
          </w14:textFill>
        </w:rPr>
        <w:t>【甲类药品费用</w:t>
      </w:r>
      <w:r>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t>+</w:t>
      </w:r>
      <w:r>
        <w:rPr>
          <w:rFonts w:hint="eastAsia" w:ascii="宋体" w:hAnsi="宋体" w:eastAsia="宋体" w:cs="宋体"/>
          <w:i w:val="0"/>
          <w:iCs w:val="0"/>
          <w:caps w:val="0"/>
          <w:color w:val="000000" w:themeColor="text1"/>
          <w:spacing w:val="0"/>
          <w:sz w:val="21"/>
          <w:szCs w:val="21"/>
          <w14:textFill>
            <w14:solidFill>
              <w14:schemeClr w14:val="tx1"/>
            </w14:solidFill>
          </w14:textFill>
        </w:rPr>
        <w:t>乙类扣除自付部分的费用</w:t>
      </w:r>
      <w:r>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t>+</w:t>
      </w:r>
      <w:r>
        <w:rPr>
          <w:rFonts w:hint="eastAsia" w:ascii="宋体" w:hAnsi="宋体" w:eastAsia="宋体" w:cs="宋体"/>
          <w:i w:val="0"/>
          <w:iCs w:val="0"/>
          <w:caps w:val="0"/>
          <w:color w:val="000000" w:themeColor="text1"/>
          <w:spacing w:val="0"/>
          <w:sz w:val="21"/>
          <w:szCs w:val="21"/>
          <w14:textFill>
            <w14:solidFill>
              <w14:schemeClr w14:val="tx1"/>
            </w14:solidFill>
          </w14:textFill>
        </w:rPr>
        <w:t>其他符合医保规定的费用）</w:t>
      </w:r>
      <w:r>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t>-</w:t>
      </w:r>
      <w:r>
        <w:rPr>
          <w:rFonts w:hint="eastAsia" w:ascii="宋体" w:hAnsi="宋体" w:eastAsia="宋体" w:cs="宋体"/>
          <w:i w:val="0"/>
          <w:iCs w:val="0"/>
          <w:caps w:val="0"/>
          <w:color w:val="000000" w:themeColor="text1"/>
          <w:spacing w:val="0"/>
          <w:sz w:val="21"/>
          <w:szCs w:val="21"/>
          <w14:textFill>
            <w14:solidFill>
              <w14:schemeClr w14:val="tx1"/>
            </w14:solidFill>
          </w14:textFill>
        </w:rPr>
        <w:t>起</w:t>
      </w:r>
      <w:r>
        <w:rPr>
          <w:rFonts w:hint="eastAsia" w:ascii="宋体" w:hAnsi="宋体" w:eastAsia="宋体" w:cs="宋体"/>
          <w:i w:val="0"/>
          <w:iCs w:val="0"/>
          <w:caps w:val="0"/>
          <w:color w:val="333333"/>
          <w:spacing w:val="0"/>
          <w:sz w:val="21"/>
          <w:szCs w:val="21"/>
        </w:rPr>
        <w:t>付线】×相应的报销比例</w:t>
      </w:r>
    </w:p>
    <w:p w14:paraId="6FCC5B9F">
      <w:pPr>
        <w:pStyle w:val="3"/>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rPr>
        <w:drawing>
          <wp:inline distT="0" distB="0" distL="114300" distR="114300">
            <wp:extent cx="5272405" cy="2419350"/>
            <wp:effectExtent l="0" t="0" r="4445" b="0"/>
            <wp:docPr id="6" name="图片 3"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1.jpg"/>
                    <pic:cNvPicPr>
                      <a:picLocks noChangeAspect="1"/>
                    </pic:cNvPicPr>
                  </pic:nvPicPr>
                  <pic:blipFill>
                    <a:blip r:embed="rId4"/>
                    <a:stretch>
                      <a:fillRect/>
                    </a:stretch>
                  </pic:blipFill>
                  <pic:spPr>
                    <a:xfrm>
                      <a:off x="0" y="0"/>
                      <a:ext cx="5272405" cy="2419350"/>
                    </a:xfrm>
                    <a:prstGeom prst="rect">
                      <a:avLst/>
                    </a:prstGeom>
                    <a:noFill/>
                    <a:ln w="9525">
                      <a:noFill/>
                    </a:ln>
                  </pic:spPr>
                </pic:pic>
              </a:graphicData>
            </a:graphic>
          </wp:inline>
        </w:drawing>
      </w:r>
    </w:p>
    <w:p w14:paraId="505CE5AE">
      <w:pPr>
        <w:pStyle w:val="3"/>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rPr>
        <w:t>五、大病保险待遇：</w:t>
      </w:r>
    </w:p>
    <w:p w14:paraId="434083B3">
      <w:pPr>
        <w:pStyle w:val="3"/>
        <w:keepNext w:val="0"/>
        <w:keepLines w:val="0"/>
        <w:widowControl/>
        <w:suppressLineNumbers w:val="0"/>
        <w:spacing w:before="0" w:beforeAutospacing="0" w:after="150" w:afterAutospacing="0"/>
        <w:ind w:left="0" w:right="0" w:firstLine="420" w:firstLineChars="200"/>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参保人员年度内在定点医疗机构住院和特殊病种门诊发生的医疗费用，经基本医疗保险按规定支付后，个人负担的合规医疗费用超过大病保险起付标准的部分，由大病保险按规定予以支付。大病保险实行自然年度内分段按比例报销。起付标准为1.6万元（困难人员</w:t>
      </w:r>
      <w:r>
        <w:rPr>
          <w:rFonts w:hint="default" w:ascii="宋体" w:hAnsi="宋体" w:eastAsia="宋体" w:cs="宋体"/>
          <w:i w:val="0"/>
          <w:iCs w:val="0"/>
          <w:caps w:val="0"/>
          <w:color w:val="333333"/>
          <w:spacing w:val="0"/>
          <w:sz w:val="21"/>
          <w:szCs w:val="21"/>
        </w:rPr>
        <w:t>0.8</w:t>
      </w:r>
      <w:r>
        <w:rPr>
          <w:rFonts w:hint="eastAsia" w:ascii="宋体" w:hAnsi="宋体" w:eastAsia="宋体" w:cs="宋体"/>
          <w:i w:val="0"/>
          <w:iCs w:val="0"/>
          <w:caps w:val="0"/>
          <w:color w:val="333333"/>
          <w:spacing w:val="0"/>
          <w:sz w:val="21"/>
          <w:szCs w:val="21"/>
        </w:rPr>
        <w:t>万元），起付标准至</w:t>
      </w:r>
      <w:r>
        <w:rPr>
          <w:rFonts w:hint="default" w:ascii="宋体" w:hAnsi="宋体" w:eastAsia="宋体" w:cs="宋体"/>
          <w:i w:val="0"/>
          <w:iCs w:val="0"/>
          <w:caps w:val="0"/>
          <w:color w:val="333333"/>
          <w:spacing w:val="0"/>
          <w:sz w:val="21"/>
          <w:szCs w:val="21"/>
        </w:rPr>
        <w:t>20</w:t>
      </w:r>
      <w:r>
        <w:rPr>
          <w:rFonts w:hint="eastAsia" w:ascii="宋体" w:hAnsi="宋体" w:eastAsia="宋体" w:cs="宋体"/>
          <w:i w:val="0"/>
          <w:iCs w:val="0"/>
          <w:caps w:val="0"/>
          <w:color w:val="333333"/>
          <w:spacing w:val="0"/>
          <w:sz w:val="21"/>
          <w:szCs w:val="21"/>
        </w:rPr>
        <w:t>万元（含），报销</w:t>
      </w:r>
      <w:r>
        <w:rPr>
          <w:rFonts w:hint="default" w:ascii="宋体" w:hAnsi="宋体" w:eastAsia="宋体" w:cs="宋体"/>
          <w:i w:val="0"/>
          <w:iCs w:val="0"/>
          <w:caps w:val="0"/>
          <w:color w:val="333333"/>
          <w:spacing w:val="0"/>
          <w:sz w:val="21"/>
          <w:szCs w:val="21"/>
        </w:rPr>
        <w:t>60%</w:t>
      </w:r>
      <w:r>
        <w:rPr>
          <w:rFonts w:hint="eastAsia" w:ascii="宋体" w:hAnsi="宋体" w:eastAsia="宋体" w:cs="宋体"/>
          <w:i w:val="0"/>
          <w:iCs w:val="0"/>
          <w:caps w:val="0"/>
          <w:color w:val="333333"/>
          <w:spacing w:val="0"/>
          <w:sz w:val="21"/>
          <w:szCs w:val="21"/>
        </w:rPr>
        <w:t>；</w:t>
      </w:r>
      <w:r>
        <w:rPr>
          <w:rFonts w:hint="default" w:ascii="宋体" w:hAnsi="宋体" w:eastAsia="宋体" w:cs="宋体"/>
          <w:i w:val="0"/>
          <w:iCs w:val="0"/>
          <w:caps w:val="0"/>
          <w:color w:val="333333"/>
          <w:spacing w:val="0"/>
          <w:sz w:val="21"/>
          <w:szCs w:val="21"/>
        </w:rPr>
        <w:t>20</w:t>
      </w:r>
      <w:r>
        <w:rPr>
          <w:rFonts w:hint="eastAsia" w:ascii="宋体" w:hAnsi="宋体" w:eastAsia="宋体" w:cs="宋体"/>
          <w:i w:val="0"/>
          <w:iCs w:val="0"/>
          <w:caps w:val="0"/>
          <w:color w:val="333333"/>
          <w:spacing w:val="0"/>
          <w:sz w:val="21"/>
          <w:szCs w:val="21"/>
        </w:rPr>
        <w:t>万元以上至</w:t>
      </w:r>
      <w:r>
        <w:rPr>
          <w:rFonts w:hint="default" w:ascii="宋体" w:hAnsi="宋体" w:eastAsia="宋体" w:cs="宋体"/>
          <w:i w:val="0"/>
          <w:iCs w:val="0"/>
          <w:caps w:val="0"/>
          <w:color w:val="333333"/>
          <w:spacing w:val="0"/>
          <w:sz w:val="21"/>
          <w:szCs w:val="21"/>
        </w:rPr>
        <w:t>30</w:t>
      </w:r>
      <w:r>
        <w:rPr>
          <w:rFonts w:hint="eastAsia" w:ascii="宋体" w:hAnsi="宋体" w:eastAsia="宋体" w:cs="宋体"/>
          <w:i w:val="0"/>
          <w:iCs w:val="0"/>
          <w:caps w:val="0"/>
          <w:color w:val="333333"/>
          <w:spacing w:val="0"/>
          <w:sz w:val="21"/>
          <w:szCs w:val="21"/>
        </w:rPr>
        <w:t>万元（含），报销</w:t>
      </w:r>
      <w:r>
        <w:rPr>
          <w:rFonts w:hint="default" w:ascii="宋体" w:hAnsi="宋体" w:eastAsia="宋体" w:cs="宋体"/>
          <w:i w:val="0"/>
          <w:iCs w:val="0"/>
          <w:caps w:val="0"/>
          <w:color w:val="333333"/>
          <w:spacing w:val="0"/>
          <w:sz w:val="21"/>
          <w:szCs w:val="21"/>
        </w:rPr>
        <w:t>70%</w:t>
      </w:r>
      <w:r>
        <w:rPr>
          <w:rFonts w:hint="eastAsia" w:ascii="宋体" w:hAnsi="宋体" w:eastAsia="宋体" w:cs="宋体"/>
          <w:i w:val="0"/>
          <w:iCs w:val="0"/>
          <w:caps w:val="0"/>
          <w:color w:val="333333"/>
          <w:spacing w:val="0"/>
          <w:sz w:val="21"/>
          <w:szCs w:val="21"/>
        </w:rPr>
        <w:t>；</w:t>
      </w:r>
      <w:r>
        <w:rPr>
          <w:rFonts w:hint="default" w:ascii="宋体" w:hAnsi="宋体" w:eastAsia="宋体" w:cs="宋体"/>
          <w:i w:val="0"/>
          <w:iCs w:val="0"/>
          <w:caps w:val="0"/>
          <w:color w:val="333333"/>
          <w:spacing w:val="0"/>
          <w:sz w:val="21"/>
          <w:szCs w:val="21"/>
        </w:rPr>
        <w:t>30</w:t>
      </w:r>
      <w:r>
        <w:rPr>
          <w:rFonts w:hint="eastAsia" w:ascii="宋体" w:hAnsi="宋体" w:eastAsia="宋体" w:cs="宋体"/>
          <w:i w:val="0"/>
          <w:iCs w:val="0"/>
          <w:caps w:val="0"/>
          <w:color w:val="333333"/>
          <w:spacing w:val="0"/>
          <w:sz w:val="21"/>
          <w:szCs w:val="21"/>
        </w:rPr>
        <w:t>万元以上，报销</w:t>
      </w:r>
      <w:r>
        <w:rPr>
          <w:rFonts w:hint="default" w:ascii="宋体" w:hAnsi="宋体" w:eastAsia="宋体" w:cs="宋体"/>
          <w:i w:val="0"/>
          <w:iCs w:val="0"/>
          <w:caps w:val="0"/>
          <w:color w:val="333333"/>
          <w:spacing w:val="0"/>
          <w:sz w:val="21"/>
          <w:szCs w:val="21"/>
        </w:rPr>
        <w:t>80%</w:t>
      </w:r>
      <w:r>
        <w:rPr>
          <w:rFonts w:hint="eastAsia" w:ascii="宋体" w:hAnsi="宋体" w:eastAsia="宋体" w:cs="宋体"/>
          <w:i w:val="0"/>
          <w:iCs w:val="0"/>
          <w:caps w:val="0"/>
          <w:color w:val="333333"/>
          <w:spacing w:val="0"/>
          <w:sz w:val="21"/>
          <w:szCs w:val="21"/>
        </w:rPr>
        <w:t>。困难人员以上报销比例相对提高</w:t>
      </w:r>
      <w:r>
        <w:rPr>
          <w:rFonts w:hint="default" w:ascii="宋体" w:hAnsi="宋体" w:eastAsia="宋体" w:cs="宋体"/>
          <w:i w:val="0"/>
          <w:iCs w:val="0"/>
          <w:caps w:val="0"/>
          <w:color w:val="333333"/>
          <w:spacing w:val="0"/>
          <w:sz w:val="21"/>
          <w:szCs w:val="21"/>
        </w:rPr>
        <w:t>10</w:t>
      </w:r>
      <w:r>
        <w:rPr>
          <w:rFonts w:hint="eastAsia" w:ascii="宋体" w:hAnsi="宋体" w:eastAsia="宋体" w:cs="宋体"/>
          <w:i w:val="0"/>
          <w:iCs w:val="0"/>
          <w:caps w:val="0"/>
          <w:color w:val="333333"/>
          <w:spacing w:val="0"/>
          <w:sz w:val="21"/>
          <w:szCs w:val="21"/>
        </w:rPr>
        <w:t>个百分点，从2025年</w:t>
      </w:r>
      <w:r>
        <w:rPr>
          <w:rFonts w:hint="default" w:ascii="宋体" w:hAnsi="宋体" w:eastAsia="宋体" w:cs="宋体"/>
          <w:i w:val="0"/>
          <w:iCs w:val="0"/>
          <w:caps w:val="0"/>
          <w:color w:val="333333"/>
          <w:spacing w:val="0"/>
          <w:sz w:val="21"/>
          <w:szCs w:val="21"/>
        </w:rPr>
        <w:t>5</w:t>
      </w:r>
      <w:r>
        <w:rPr>
          <w:rFonts w:hint="eastAsia" w:ascii="宋体" w:hAnsi="宋体" w:eastAsia="宋体" w:cs="宋体"/>
          <w:i w:val="0"/>
          <w:iCs w:val="0"/>
          <w:caps w:val="0"/>
          <w:color w:val="333333"/>
          <w:spacing w:val="0"/>
          <w:sz w:val="21"/>
          <w:szCs w:val="21"/>
        </w:rPr>
        <w:t>月</w:t>
      </w:r>
      <w:r>
        <w:rPr>
          <w:rFonts w:hint="default" w:ascii="宋体" w:hAnsi="宋体" w:eastAsia="宋体" w:cs="宋体"/>
          <w:i w:val="0"/>
          <w:iCs w:val="0"/>
          <w:caps w:val="0"/>
          <w:color w:val="333333"/>
          <w:spacing w:val="0"/>
          <w:sz w:val="21"/>
          <w:szCs w:val="21"/>
        </w:rPr>
        <w:t>1</w:t>
      </w:r>
      <w:r>
        <w:rPr>
          <w:rFonts w:hint="eastAsia" w:ascii="宋体" w:hAnsi="宋体" w:eastAsia="宋体" w:cs="宋体"/>
          <w:i w:val="0"/>
          <w:iCs w:val="0"/>
          <w:caps w:val="0"/>
          <w:color w:val="333333"/>
          <w:spacing w:val="0"/>
          <w:sz w:val="21"/>
          <w:szCs w:val="21"/>
        </w:rPr>
        <w:t>日起，非急诊抢救且未经市内定点医疗机构办理转诊手续的临时外出就医参保人员，市外发生的住院和特殊病种门诊政策范围内医疗费用，按</w:t>
      </w:r>
      <w:r>
        <w:rPr>
          <w:rFonts w:hint="default" w:ascii="宋体" w:hAnsi="宋体" w:eastAsia="宋体" w:cs="宋体"/>
          <w:i w:val="0"/>
          <w:iCs w:val="0"/>
          <w:caps w:val="0"/>
          <w:color w:val="333333"/>
          <w:spacing w:val="0"/>
          <w:sz w:val="21"/>
          <w:szCs w:val="21"/>
        </w:rPr>
        <w:t>50%</w:t>
      </w:r>
      <w:r>
        <w:rPr>
          <w:rFonts w:hint="eastAsia" w:ascii="宋体" w:hAnsi="宋体" w:eastAsia="宋体" w:cs="宋体"/>
          <w:i w:val="0"/>
          <w:iCs w:val="0"/>
          <w:caps w:val="0"/>
          <w:color w:val="333333"/>
          <w:spacing w:val="0"/>
          <w:sz w:val="21"/>
          <w:szCs w:val="21"/>
        </w:rPr>
        <w:t>纳入大病保险报销范围。</w:t>
      </w:r>
    </w:p>
    <w:p w14:paraId="6267B2C7">
      <w:pPr>
        <w:pStyle w:val="3"/>
        <w:keepNext w:val="0"/>
        <w:keepLines w:val="0"/>
        <w:widowControl/>
        <w:suppressLineNumbers w:val="0"/>
        <w:spacing w:before="0" w:beforeAutospacing="0" w:after="150" w:afterAutospacing="0"/>
        <w:ind w:left="0" w:right="0"/>
      </w:pPr>
    </w:p>
    <w:p w14:paraId="26837AD1">
      <w:pPr>
        <w:pStyle w:val="3"/>
        <w:keepNext w:val="0"/>
        <w:keepLines w:val="0"/>
        <w:widowControl/>
        <w:suppressLineNumbers w:val="0"/>
        <w:spacing w:before="0" w:beforeAutospacing="0" w:after="150" w:afterAutospacing="0"/>
        <w:ind w:left="0" w:right="0"/>
      </w:pPr>
    </w:p>
    <w:p w14:paraId="43208B93">
      <w:pPr>
        <w:pStyle w:val="3"/>
        <w:keepNext w:val="0"/>
        <w:keepLines w:val="0"/>
        <w:widowControl/>
        <w:suppressLineNumbers w:val="0"/>
        <w:spacing w:before="0" w:beforeAutospacing="0" w:after="150" w:afterAutospacing="0"/>
        <w:ind w:left="0" w:right="0"/>
      </w:pPr>
    </w:p>
    <w:p w14:paraId="3D51E767">
      <w:pPr>
        <w:pStyle w:val="3"/>
        <w:keepNext w:val="0"/>
        <w:keepLines w:val="0"/>
        <w:widowControl/>
        <w:suppressLineNumbers w:val="0"/>
        <w:spacing w:before="0" w:beforeAutospacing="0" w:after="150" w:afterAutospacing="0"/>
        <w:ind w:left="0" w:right="0"/>
      </w:pPr>
    </w:p>
    <w:p w14:paraId="04659A55">
      <w:pPr>
        <w:pStyle w:val="3"/>
        <w:keepNext w:val="0"/>
        <w:keepLines w:val="0"/>
        <w:widowControl/>
        <w:suppressLineNumbers w:val="0"/>
        <w:spacing w:before="0" w:beforeAutospacing="0" w:after="150" w:afterAutospacing="0"/>
        <w:ind w:left="0" w:right="0"/>
      </w:pPr>
      <w:r>
        <w:rPr>
          <w:rStyle w:val="6"/>
          <w:rFonts w:hint="eastAsia" w:ascii="宋体" w:hAnsi="宋体" w:eastAsia="宋体" w:cs="宋体"/>
          <w:b/>
          <w:bCs/>
          <w:i w:val="0"/>
          <w:iCs w:val="0"/>
          <w:caps w:val="0"/>
          <w:color w:val="333333"/>
          <w:spacing w:val="0"/>
          <w:sz w:val="30"/>
          <w:szCs w:val="30"/>
        </w:rPr>
        <w:t>居民医疗保险政策：</w:t>
      </w:r>
    </w:p>
    <w:p w14:paraId="4A4D68A5">
      <w:pPr>
        <w:pStyle w:val="3"/>
        <w:keepNext w:val="0"/>
        <w:keepLines w:val="0"/>
        <w:widowControl/>
        <w:suppressLineNumbers w:val="0"/>
        <w:spacing w:before="0" w:beforeAutospacing="0" w:after="150" w:afterAutospacing="0"/>
        <w:ind w:left="0" w:right="0"/>
      </w:pPr>
      <w:r>
        <w:rPr>
          <w:rFonts w:hint="eastAsia" w:ascii="微软雅黑" w:hAnsi="微软雅黑" w:eastAsia="微软雅黑" w:cs="微软雅黑"/>
          <w:i w:val="0"/>
          <w:iCs w:val="0"/>
          <w:caps w:val="0"/>
          <w:color w:val="333333"/>
          <w:spacing w:val="0"/>
          <w:sz w:val="21"/>
          <w:szCs w:val="21"/>
        </w:rPr>
        <w:t> </w:t>
      </w:r>
      <w:r>
        <w:rPr>
          <w:rFonts w:hint="eastAsia" w:ascii="宋体" w:hAnsi="宋体" w:eastAsia="宋体" w:cs="宋体"/>
          <w:i w:val="0"/>
          <w:iCs w:val="0"/>
          <w:caps w:val="0"/>
          <w:color w:val="333333"/>
          <w:spacing w:val="0"/>
          <w:sz w:val="21"/>
          <w:szCs w:val="21"/>
        </w:rPr>
        <w:t>一、居民参保缴费缴费时间：</w:t>
      </w:r>
    </w:p>
    <w:p w14:paraId="2B978730">
      <w:pPr>
        <w:pStyle w:val="3"/>
        <w:keepNext w:val="0"/>
        <w:keepLines w:val="0"/>
        <w:widowControl/>
        <w:suppressLineNumbers w:val="0"/>
        <w:spacing w:before="0" w:beforeAutospacing="0" w:after="150" w:afterAutospacing="0"/>
        <w:ind w:left="0" w:right="0"/>
        <w:rPr>
          <w:color w:val="000000" w:themeColor="text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t>  </w:t>
      </w:r>
      <w:r>
        <w:rPr>
          <w:rFonts w:hint="eastAsia" w:ascii="微软雅黑" w:hAnsi="微软雅黑" w:eastAsia="微软雅黑" w:cs="微软雅黑"/>
          <w:i w:val="0"/>
          <w:iCs w:val="0"/>
          <w:caps w:val="0"/>
          <w:color w:val="000000" w:themeColor="text1"/>
          <w:spacing w:val="0"/>
          <w:sz w:val="21"/>
          <w:szCs w:val="21"/>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1"/>
          <w:szCs w:val="21"/>
          <w14:textFill>
            <w14:solidFill>
              <w14:schemeClr w14:val="tx1"/>
            </w14:solidFill>
          </w14:textFill>
        </w:rPr>
        <w:t>城乡居民医保实行年缴费制度。每年</w:t>
      </w:r>
      <w:r>
        <w:rPr>
          <w:rFonts w:hint="eastAsia" w:ascii="微软雅黑" w:hAnsi="微软雅黑" w:eastAsia="微软雅黑" w:cs="微软雅黑"/>
          <w:i w:val="0"/>
          <w:iCs w:val="0"/>
          <w:caps w:val="0"/>
          <w:color w:val="000000" w:themeColor="text1"/>
          <w:spacing w:val="0"/>
          <w:sz w:val="21"/>
          <w:szCs w:val="21"/>
          <w:lang w:val="en-US" w:eastAsia="zh-CN"/>
          <w14:textFill>
            <w14:solidFill>
              <w14:schemeClr w14:val="tx1"/>
            </w14:solidFill>
          </w14:textFill>
        </w:rPr>
        <w:t>第四季度</w:t>
      </w:r>
      <w:r>
        <w:rPr>
          <w:rFonts w:hint="eastAsia" w:ascii="宋体" w:hAnsi="宋体" w:eastAsia="宋体" w:cs="宋体"/>
          <w:i w:val="0"/>
          <w:iCs w:val="0"/>
          <w:caps w:val="0"/>
          <w:color w:val="000000" w:themeColor="text1"/>
          <w:spacing w:val="0"/>
          <w:sz w:val="21"/>
          <w:szCs w:val="21"/>
          <w:lang w:val="en-US" w:eastAsia="zh-CN"/>
          <w14:textFill>
            <w14:solidFill>
              <w14:schemeClr w14:val="tx1"/>
            </w14:solidFill>
          </w14:textFill>
        </w:rPr>
        <w:t>为集中缴费期</w:t>
      </w:r>
      <w:r>
        <w:rPr>
          <w:rFonts w:hint="eastAsia" w:ascii="宋体" w:hAnsi="宋体" w:eastAsia="宋体" w:cs="宋体"/>
          <w:i w:val="0"/>
          <w:iCs w:val="0"/>
          <w:caps w:val="0"/>
          <w:color w:val="000000" w:themeColor="text1"/>
          <w:spacing w:val="0"/>
          <w:sz w:val="21"/>
          <w:szCs w:val="21"/>
          <w14:textFill>
            <w14:solidFill>
              <w14:schemeClr w14:val="tx1"/>
            </w14:solidFill>
          </w14:textFill>
        </w:rPr>
        <w:t>，次年</w:t>
      </w:r>
      <w:r>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t>1</w:t>
      </w:r>
      <w:r>
        <w:rPr>
          <w:rFonts w:hint="eastAsia" w:ascii="宋体" w:hAnsi="宋体" w:eastAsia="宋体" w:cs="宋体"/>
          <w:i w:val="0"/>
          <w:iCs w:val="0"/>
          <w:caps w:val="0"/>
          <w:color w:val="000000" w:themeColor="text1"/>
          <w:spacing w:val="0"/>
          <w:sz w:val="21"/>
          <w:szCs w:val="21"/>
          <w14:textFill>
            <w14:solidFill>
              <w14:schemeClr w14:val="tx1"/>
            </w14:solidFill>
          </w14:textFill>
        </w:rPr>
        <w:t>月</w:t>
      </w:r>
      <w:r>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t>1</w:t>
      </w:r>
      <w:r>
        <w:rPr>
          <w:rFonts w:hint="eastAsia" w:ascii="宋体" w:hAnsi="宋体" w:eastAsia="宋体" w:cs="宋体"/>
          <w:i w:val="0"/>
          <w:iCs w:val="0"/>
          <w:caps w:val="0"/>
          <w:color w:val="000000" w:themeColor="text1"/>
          <w:spacing w:val="0"/>
          <w:sz w:val="21"/>
          <w:szCs w:val="21"/>
          <w14:textFill>
            <w14:solidFill>
              <w14:schemeClr w14:val="tx1"/>
            </w14:solidFill>
          </w14:textFill>
        </w:rPr>
        <w:t>日至</w:t>
      </w:r>
      <w:r>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t>12</w:t>
      </w:r>
      <w:r>
        <w:rPr>
          <w:rFonts w:hint="eastAsia" w:ascii="宋体" w:hAnsi="宋体" w:eastAsia="宋体" w:cs="宋体"/>
          <w:i w:val="0"/>
          <w:iCs w:val="0"/>
          <w:caps w:val="0"/>
          <w:color w:val="000000" w:themeColor="text1"/>
          <w:spacing w:val="0"/>
          <w:sz w:val="21"/>
          <w:szCs w:val="21"/>
          <w14:textFill>
            <w14:solidFill>
              <w14:schemeClr w14:val="tx1"/>
            </w14:solidFill>
          </w14:textFill>
        </w:rPr>
        <w:t>月</w:t>
      </w:r>
      <w:r>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t>31</w:t>
      </w:r>
      <w:r>
        <w:rPr>
          <w:rFonts w:hint="eastAsia" w:ascii="宋体" w:hAnsi="宋体" w:eastAsia="宋体" w:cs="宋体"/>
          <w:i w:val="0"/>
          <w:iCs w:val="0"/>
          <w:caps w:val="0"/>
          <w:color w:val="000000" w:themeColor="text1"/>
          <w:spacing w:val="0"/>
          <w:sz w:val="21"/>
          <w:szCs w:val="21"/>
          <w14:textFill>
            <w14:solidFill>
              <w14:schemeClr w14:val="tx1"/>
            </w14:solidFill>
          </w14:textFill>
        </w:rPr>
        <w:t>日</w:t>
      </w:r>
      <w:r>
        <w:rPr>
          <w:rFonts w:hint="eastAsia" w:ascii="宋体" w:hAnsi="宋体" w:eastAsia="宋体" w:cs="宋体"/>
          <w:i w:val="0"/>
          <w:iCs w:val="0"/>
          <w:caps w:val="0"/>
          <w:color w:val="000000" w:themeColor="text1"/>
          <w:spacing w:val="0"/>
          <w:sz w:val="21"/>
          <w:szCs w:val="21"/>
          <w:lang w:val="en-US" w:eastAsia="zh-CN"/>
          <w14:textFill>
            <w14:solidFill>
              <w14:schemeClr w14:val="tx1"/>
            </w14:solidFill>
          </w14:textFill>
        </w:rPr>
        <w:t>正常享受医疗保险待遇</w:t>
      </w:r>
      <w:r>
        <w:rPr>
          <w:rFonts w:hint="eastAsia" w:ascii="宋体" w:hAnsi="宋体" w:eastAsia="宋体" w:cs="宋体"/>
          <w:i w:val="0"/>
          <w:iCs w:val="0"/>
          <w:caps w:val="0"/>
          <w:color w:val="000000" w:themeColor="text1"/>
          <w:spacing w:val="0"/>
          <w:sz w:val="21"/>
          <w:szCs w:val="21"/>
          <w14:textFill>
            <w14:solidFill>
              <w14:schemeClr w14:val="tx1"/>
            </w14:solidFill>
          </w14:textFill>
        </w:rPr>
        <w:t>。</w:t>
      </w:r>
    </w:p>
    <w:p w14:paraId="00D8B907">
      <w:pPr>
        <w:pStyle w:val="3"/>
        <w:keepNext w:val="0"/>
        <w:keepLines w:val="0"/>
        <w:widowControl/>
        <w:suppressLineNumbers w:val="0"/>
        <w:spacing w:before="0" w:beforeAutospacing="0" w:after="150" w:afterAutospacing="0"/>
        <w:ind w:left="0" w:right="0"/>
        <w:rPr>
          <w:color w:val="000000" w:themeColor="text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t> </w:t>
      </w:r>
      <w:r>
        <w:rPr>
          <w:rFonts w:hint="eastAsia" w:ascii="微软雅黑" w:hAnsi="微软雅黑" w:eastAsia="微软雅黑" w:cs="微软雅黑"/>
          <w:i w:val="0"/>
          <w:iCs w:val="0"/>
          <w:caps w:val="0"/>
          <w:color w:val="000000" w:themeColor="text1"/>
          <w:spacing w:val="0"/>
          <w:sz w:val="21"/>
          <w:szCs w:val="21"/>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1"/>
          <w:szCs w:val="21"/>
          <w14:textFill>
            <w14:solidFill>
              <w14:schemeClr w14:val="tx1"/>
            </w14:solidFill>
          </w14:textFill>
        </w:rPr>
        <w:t>未在规定期限内参保缴费的，自其参保缴费当月起，</w:t>
      </w:r>
      <w:r>
        <w:rPr>
          <w:rFonts w:hint="eastAsia" w:ascii="微软雅黑" w:hAnsi="微软雅黑" w:eastAsia="微软雅黑" w:cs="微软雅黑"/>
          <w:i w:val="0"/>
          <w:iCs w:val="0"/>
          <w:caps w:val="0"/>
          <w:color w:val="000000" w:themeColor="text1"/>
          <w:spacing w:val="0"/>
          <w:sz w:val="21"/>
          <w:szCs w:val="21"/>
          <w:lang w:val="en-US" w:eastAsia="zh-CN"/>
          <w14:textFill>
            <w14:solidFill>
              <w14:schemeClr w14:val="tx1"/>
            </w14:solidFill>
          </w14:textFill>
        </w:rPr>
        <w:t>2</w:t>
      </w:r>
      <w:r>
        <w:rPr>
          <w:rFonts w:hint="eastAsia" w:ascii="宋体" w:hAnsi="宋体" w:eastAsia="宋体" w:cs="宋体"/>
          <w:i w:val="0"/>
          <w:iCs w:val="0"/>
          <w:caps w:val="0"/>
          <w:color w:val="000000" w:themeColor="text1"/>
          <w:spacing w:val="0"/>
          <w:sz w:val="21"/>
          <w:szCs w:val="21"/>
          <w14:textFill>
            <w14:solidFill>
              <w14:schemeClr w14:val="tx1"/>
            </w14:solidFill>
          </w14:textFill>
        </w:rPr>
        <w:t>个月后享受基本医疗保险。</w:t>
      </w:r>
    </w:p>
    <w:p w14:paraId="42E8C5B5">
      <w:pPr>
        <w:pStyle w:val="3"/>
        <w:keepNext w:val="0"/>
        <w:keepLines w:val="0"/>
        <w:widowControl/>
        <w:suppressLineNumbers w:val="0"/>
        <w:spacing w:before="0" w:beforeAutospacing="0" w:after="150" w:afterAutospacing="0"/>
        <w:ind w:left="0" w:right="0" w:firstLine="0"/>
      </w:pPr>
      <w:r>
        <w:rPr>
          <w:rFonts w:hint="eastAsia" w:ascii="微软雅黑" w:hAnsi="微软雅黑" w:eastAsia="微软雅黑" w:cs="微软雅黑"/>
          <w:i w:val="0"/>
          <w:iCs w:val="0"/>
          <w:caps w:val="0"/>
          <w:color w:val="333333"/>
          <w:spacing w:val="0"/>
          <w:sz w:val="21"/>
          <w:szCs w:val="21"/>
        </w:rPr>
        <w:t>二、</w:t>
      </w:r>
      <w:r>
        <w:rPr>
          <w:rFonts w:hint="eastAsia" w:ascii="宋体" w:hAnsi="宋体" w:eastAsia="宋体" w:cs="宋体"/>
          <w:i w:val="0"/>
          <w:iCs w:val="0"/>
          <w:caps w:val="0"/>
          <w:color w:val="333333"/>
          <w:spacing w:val="0"/>
          <w:sz w:val="21"/>
          <w:szCs w:val="21"/>
        </w:rPr>
        <w:t>医保基金不予支付的费用：</w:t>
      </w:r>
    </w:p>
    <w:p w14:paraId="4B1D823C">
      <w:pPr>
        <w:pStyle w:val="3"/>
        <w:keepNext w:val="0"/>
        <w:keepLines w:val="0"/>
        <w:widowControl/>
        <w:suppressLineNumbers w:val="0"/>
        <w:spacing w:before="0" w:beforeAutospacing="0" w:after="150" w:afterAutospacing="0"/>
        <w:ind w:left="0" w:right="0"/>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应当从工伤保险基金中支付的；应当由第三人负担的；应当由公共卫生负担的；在境外就医的；按有关政策规定不予支付的其他情形。</w:t>
      </w:r>
    </w:p>
    <w:p w14:paraId="75E7C625">
      <w:pPr>
        <w:pStyle w:val="3"/>
        <w:keepNext w:val="0"/>
        <w:keepLines w:val="0"/>
        <w:widowControl/>
        <w:suppressLineNumbers w:val="0"/>
        <w:spacing w:before="0" w:beforeAutospacing="0" w:after="150" w:afterAutospacing="0"/>
        <w:ind w:left="0" w:right="0" w:firstLine="0"/>
      </w:pPr>
      <w:r>
        <w:rPr>
          <w:rFonts w:hint="eastAsia" w:ascii="微软雅黑" w:hAnsi="微软雅黑" w:eastAsia="微软雅黑" w:cs="微软雅黑"/>
          <w:i w:val="0"/>
          <w:iCs w:val="0"/>
          <w:caps w:val="0"/>
          <w:color w:val="333333"/>
          <w:spacing w:val="0"/>
          <w:sz w:val="21"/>
          <w:szCs w:val="21"/>
        </w:rPr>
        <w:t>三、</w:t>
      </w:r>
      <w:r>
        <w:rPr>
          <w:rFonts w:hint="eastAsia" w:ascii="宋体" w:hAnsi="宋体" w:eastAsia="宋体" w:cs="宋体"/>
          <w:i w:val="0"/>
          <w:iCs w:val="0"/>
          <w:caps w:val="0"/>
          <w:color w:val="333333"/>
          <w:spacing w:val="0"/>
          <w:sz w:val="21"/>
          <w:szCs w:val="21"/>
        </w:rPr>
        <w:t>居民医疗保险门诊待遇</w:t>
      </w:r>
    </w:p>
    <w:p w14:paraId="016BF2BC">
      <w:pPr>
        <w:pStyle w:val="3"/>
        <w:keepNext w:val="0"/>
        <w:keepLines w:val="0"/>
        <w:widowControl/>
        <w:suppressLineNumbers w:val="0"/>
        <w:spacing w:before="0" w:beforeAutospacing="0" w:after="150" w:afterAutospacing="0"/>
        <w:ind w:left="0" w:right="0" w:firstLine="0"/>
      </w:pPr>
      <w:r>
        <w:rPr>
          <w:rFonts w:hint="eastAsia" w:ascii="微软雅黑" w:hAnsi="微软雅黑" w:eastAsia="微软雅黑" w:cs="微软雅黑"/>
          <w:i w:val="0"/>
          <w:iCs w:val="0"/>
          <w:caps w:val="0"/>
          <w:color w:val="333333"/>
          <w:spacing w:val="0"/>
          <w:sz w:val="21"/>
          <w:szCs w:val="21"/>
        </w:rPr>
        <w:t>1.</w:t>
      </w:r>
      <w:r>
        <w:rPr>
          <w:rFonts w:hint="eastAsia" w:ascii="宋体" w:hAnsi="宋体" w:eastAsia="宋体" w:cs="宋体"/>
          <w:i w:val="0"/>
          <w:iCs w:val="0"/>
          <w:caps w:val="0"/>
          <w:color w:val="333333"/>
          <w:spacing w:val="0"/>
          <w:sz w:val="21"/>
          <w:szCs w:val="21"/>
        </w:rPr>
        <w:t>普通门诊待遇</w:t>
      </w:r>
    </w:p>
    <w:tbl>
      <w:tblPr>
        <w:tblStyle w:val="4"/>
        <w:tblW w:w="5000" w:type="pct"/>
        <w:jc w:val="center"/>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186"/>
        <w:gridCol w:w="402"/>
        <w:gridCol w:w="1254"/>
        <w:gridCol w:w="1190"/>
        <w:gridCol w:w="629"/>
        <w:gridCol w:w="570"/>
        <w:gridCol w:w="1190"/>
        <w:gridCol w:w="529"/>
        <w:gridCol w:w="629"/>
        <w:gridCol w:w="757"/>
      </w:tblGrid>
      <w:tr w14:paraId="4D239799">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712" w:type="pct"/>
            <w:vMerge w:val="restart"/>
            <w:tcBorders>
              <w:top w:val="single" w:color="CCCCCC" w:sz="6" w:space="0"/>
              <w:left w:val="single" w:color="CCCCCC" w:sz="6" w:space="0"/>
              <w:bottom w:val="single" w:color="CCCCCC" w:sz="6" w:space="0"/>
              <w:right w:val="single" w:color="CCCCCC" w:sz="6" w:space="0"/>
            </w:tcBorders>
            <w:shd w:val="clear" w:color="auto" w:fill="FFFFFF"/>
            <w:vAlign w:val="center"/>
          </w:tcPr>
          <w:p w14:paraId="262A199A">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医疗机构</w:t>
            </w:r>
          </w:p>
          <w:p w14:paraId="543BA5E4">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p>
          <w:p w14:paraId="57275FDE">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p>
          <w:p w14:paraId="6FF3F75E">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p>
          <w:p w14:paraId="1FE98DFC">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p>
          <w:p w14:paraId="0EEB2136">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p>
          <w:p w14:paraId="4601E3CC">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人员类别</w:t>
            </w:r>
          </w:p>
        </w:tc>
        <w:tc>
          <w:tcPr>
            <w:tcW w:w="1707" w:type="pct"/>
            <w:gridSpan w:val="3"/>
            <w:tcBorders>
              <w:top w:val="single" w:color="CCCCCC" w:sz="6" w:space="0"/>
              <w:left w:val="single" w:color="CCCCCC" w:sz="6" w:space="0"/>
              <w:bottom w:val="single" w:color="CCCCCC" w:sz="6" w:space="0"/>
              <w:right w:val="single" w:color="CCCCCC" w:sz="6" w:space="0"/>
            </w:tcBorders>
            <w:shd w:val="clear" w:color="auto" w:fill="FFFFFF"/>
            <w:vAlign w:val="center"/>
          </w:tcPr>
          <w:p w14:paraId="1ED62441">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村卫生室</w:t>
            </w:r>
          </w:p>
          <w:p w14:paraId="2C16CDBC">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（社区卫生服务站）</w:t>
            </w:r>
          </w:p>
        </w:tc>
        <w:tc>
          <w:tcPr>
            <w:tcW w:w="1433" w:type="pct"/>
            <w:gridSpan w:val="3"/>
            <w:tcBorders>
              <w:top w:val="single" w:color="CCCCCC" w:sz="6" w:space="0"/>
              <w:left w:val="single" w:color="CCCCCC" w:sz="6" w:space="0"/>
              <w:bottom w:val="single" w:color="CCCCCC" w:sz="6" w:space="0"/>
              <w:right w:val="single" w:color="CCCCCC" w:sz="6" w:space="0"/>
            </w:tcBorders>
            <w:shd w:val="clear" w:color="auto" w:fill="FFFFFF"/>
            <w:vAlign w:val="center"/>
          </w:tcPr>
          <w:p w14:paraId="0A8C3F6B">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镇（街道）医疗机构</w:t>
            </w:r>
          </w:p>
        </w:tc>
        <w:tc>
          <w:tcPr>
            <w:tcW w:w="1146" w:type="pct"/>
            <w:gridSpan w:val="3"/>
            <w:tcBorders>
              <w:top w:val="single" w:color="CCCCCC" w:sz="6" w:space="0"/>
              <w:left w:val="single" w:color="CCCCCC" w:sz="6" w:space="0"/>
              <w:bottom w:val="single" w:color="CCCCCC" w:sz="6" w:space="0"/>
              <w:right w:val="single" w:color="CCCCCC" w:sz="6" w:space="0"/>
            </w:tcBorders>
            <w:shd w:val="clear" w:color="auto" w:fill="FFFFFF"/>
            <w:vAlign w:val="center"/>
          </w:tcPr>
          <w:p w14:paraId="31A66F0B">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其他一级及以上医疗机构</w:t>
            </w:r>
          </w:p>
        </w:tc>
      </w:tr>
      <w:tr w14:paraId="086EFB75">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712" w:type="pct"/>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090CC4FF">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p>
        </w:tc>
        <w:tc>
          <w:tcPr>
            <w:tcW w:w="241"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6B8287EB">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起付</w:t>
            </w:r>
          </w:p>
          <w:p w14:paraId="55FC3E0B">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标准</w:t>
            </w:r>
          </w:p>
        </w:tc>
        <w:tc>
          <w:tcPr>
            <w:tcW w:w="752"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7867DAE9">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报销</w:t>
            </w:r>
          </w:p>
          <w:p w14:paraId="4346ED7C">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比例</w:t>
            </w:r>
          </w:p>
        </w:tc>
        <w:tc>
          <w:tcPr>
            <w:tcW w:w="713"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7A64C639">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单日基金</w:t>
            </w:r>
          </w:p>
          <w:p w14:paraId="499D7ED5">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支付限额</w:t>
            </w:r>
          </w:p>
        </w:tc>
        <w:tc>
          <w:tcPr>
            <w:tcW w:w="377"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45689400">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起付标准</w:t>
            </w:r>
          </w:p>
        </w:tc>
        <w:tc>
          <w:tcPr>
            <w:tcW w:w="342"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7FB6C566">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报销</w:t>
            </w:r>
          </w:p>
          <w:p w14:paraId="141542CD">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比例</w:t>
            </w:r>
          </w:p>
        </w:tc>
        <w:tc>
          <w:tcPr>
            <w:tcW w:w="713"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3211FA91">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单日基金支付限额</w:t>
            </w:r>
          </w:p>
        </w:tc>
        <w:tc>
          <w:tcPr>
            <w:tcW w:w="317"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324A6CB4">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起付</w:t>
            </w:r>
          </w:p>
          <w:p w14:paraId="33D3E155">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标准</w:t>
            </w:r>
          </w:p>
        </w:tc>
        <w:tc>
          <w:tcPr>
            <w:tcW w:w="377"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46130355">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报销</w:t>
            </w:r>
          </w:p>
          <w:p w14:paraId="66F5316B">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比例</w:t>
            </w:r>
          </w:p>
        </w:tc>
        <w:tc>
          <w:tcPr>
            <w:tcW w:w="451"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626F9A95">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单日基金</w:t>
            </w:r>
          </w:p>
          <w:p w14:paraId="2086B74F">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支付限额</w:t>
            </w:r>
          </w:p>
        </w:tc>
      </w:tr>
      <w:tr w14:paraId="364952D6">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712"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6E8DFDCC">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成年居民</w:t>
            </w:r>
          </w:p>
          <w:p w14:paraId="5E2FAA8F">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（不含在校学生）</w:t>
            </w:r>
          </w:p>
        </w:tc>
        <w:tc>
          <w:tcPr>
            <w:tcW w:w="241"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791B08C5">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w:t>
            </w:r>
          </w:p>
        </w:tc>
        <w:tc>
          <w:tcPr>
            <w:tcW w:w="752"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7C6F5358">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50%（其中家庭</w:t>
            </w:r>
          </w:p>
          <w:p w14:paraId="6D8BB45F">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医生签约服务的</w:t>
            </w:r>
          </w:p>
          <w:p w14:paraId="5A7CA103">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报销55%）</w:t>
            </w:r>
          </w:p>
        </w:tc>
        <w:tc>
          <w:tcPr>
            <w:tcW w:w="713"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7DA0D507">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20元</w:t>
            </w:r>
          </w:p>
          <w:p w14:paraId="76BEEF2F">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（含一般诊疗费）</w:t>
            </w:r>
          </w:p>
        </w:tc>
        <w:tc>
          <w:tcPr>
            <w:tcW w:w="377"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6998888F">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20元</w:t>
            </w:r>
          </w:p>
        </w:tc>
        <w:tc>
          <w:tcPr>
            <w:tcW w:w="342"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38592E12">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50%</w:t>
            </w:r>
          </w:p>
        </w:tc>
        <w:tc>
          <w:tcPr>
            <w:tcW w:w="713"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033ABE5B">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45元（含一般</w:t>
            </w:r>
          </w:p>
          <w:p w14:paraId="4E647498">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诊疗费）</w:t>
            </w:r>
          </w:p>
        </w:tc>
        <w:tc>
          <w:tcPr>
            <w:tcW w:w="317"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2DA5CED8">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50元</w:t>
            </w:r>
          </w:p>
        </w:tc>
        <w:tc>
          <w:tcPr>
            <w:tcW w:w="377"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14E05187">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30%</w:t>
            </w:r>
          </w:p>
        </w:tc>
        <w:tc>
          <w:tcPr>
            <w:tcW w:w="451"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74D0FD54">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30元</w:t>
            </w:r>
          </w:p>
        </w:tc>
      </w:tr>
      <w:tr w14:paraId="78B4DF3C">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712"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4C2A2B29">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学生及其他</w:t>
            </w:r>
          </w:p>
          <w:p w14:paraId="27F5BA2D">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未成年人</w:t>
            </w:r>
          </w:p>
        </w:tc>
        <w:tc>
          <w:tcPr>
            <w:tcW w:w="241"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1ACFEFD9">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w:t>
            </w:r>
          </w:p>
        </w:tc>
        <w:tc>
          <w:tcPr>
            <w:tcW w:w="752"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4FEE24DB">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50%</w:t>
            </w:r>
          </w:p>
        </w:tc>
        <w:tc>
          <w:tcPr>
            <w:tcW w:w="713"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582BFFED">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20元</w:t>
            </w:r>
          </w:p>
          <w:p w14:paraId="04081D41">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（含一般诊疗费）</w:t>
            </w:r>
          </w:p>
        </w:tc>
        <w:tc>
          <w:tcPr>
            <w:tcW w:w="377"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2ED4ADC4">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20元</w:t>
            </w:r>
          </w:p>
        </w:tc>
        <w:tc>
          <w:tcPr>
            <w:tcW w:w="342"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12068CAA">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50%</w:t>
            </w:r>
          </w:p>
        </w:tc>
        <w:tc>
          <w:tcPr>
            <w:tcW w:w="713"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4C47BB70">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w:t>
            </w:r>
          </w:p>
        </w:tc>
        <w:tc>
          <w:tcPr>
            <w:tcW w:w="317"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470F82B9">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50元</w:t>
            </w:r>
          </w:p>
        </w:tc>
        <w:tc>
          <w:tcPr>
            <w:tcW w:w="377"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5848F9D3">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50%</w:t>
            </w:r>
          </w:p>
        </w:tc>
        <w:tc>
          <w:tcPr>
            <w:tcW w:w="451" w:type="pct"/>
            <w:tcBorders>
              <w:top w:val="single" w:color="CCCCCC" w:sz="6" w:space="0"/>
              <w:left w:val="single" w:color="CCCCCC" w:sz="6" w:space="0"/>
              <w:bottom w:val="single" w:color="CCCCCC" w:sz="6" w:space="0"/>
              <w:right w:val="single" w:color="CCCCCC" w:sz="6" w:space="0"/>
            </w:tcBorders>
            <w:shd w:val="clear" w:color="auto" w:fill="FFFFFF"/>
            <w:vAlign w:val="center"/>
          </w:tcPr>
          <w:p w14:paraId="09A9E651">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w:t>
            </w:r>
          </w:p>
        </w:tc>
      </w:tr>
      <w:tr w14:paraId="4B45C1BE">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5000" w:type="pct"/>
            <w:gridSpan w:val="10"/>
            <w:tcBorders>
              <w:top w:val="single" w:color="CCCCCC" w:sz="6" w:space="0"/>
              <w:left w:val="single" w:color="CCCCCC" w:sz="6" w:space="0"/>
              <w:bottom w:val="single" w:color="CCCCCC" w:sz="6" w:space="0"/>
              <w:right w:val="single" w:color="CCCCCC" w:sz="6" w:space="0"/>
            </w:tcBorders>
            <w:shd w:val="clear" w:color="auto" w:fill="FFFFFF"/>
            <w:vAlign w:val="center"/>
          </w:tcPr>
          <w:p w14:paraId="6EF9F162">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年度基金支付限额为750元</w:t>
            </w:r>
          </w:p>
        </w:tc>
      </w:tr>
    </w:tbl>
    <w:p w14:paraId="71AFE4D6">
      <w:pPr>
        <w:pStyle w:val="3"/>
        <w:keepNext w:val="0"/>
        <w:keepLines w:val="0"/>
        <w:widowControl/>
        <w:suppressLineNumbers w:val="0"/>
        <w:spacing w:before="0" w:beforeAutospacing="0" w:after="150" w:afterAutospacing="0"/>
        <w:ind w:left="0" w:right="0"/>
      </w:pPr>
    </w:p>
    <w:p w14:paraId="40B1C6BF">
      <w:pPr>
        <w:pStyle w:val="3"/>
        <w:keepNext w:val="0"/>
        <w:keepLines w:val="0"/>
        <w:widowControl/>
        <w:numPr>
          <w:ilvl w:val="0"/>
          <w:numId w:val="0"/>
        </w:numPr>
        <w:suppressLineNumbers w:val="0"/>
        <w:spacing w:before="0" w:beforeAutospacing="0" w:after="150" w:afterAutospacing="0"/>
        <w:ind w:leftChars="0" w:right="0" w:rightChars="0"/>
        <w:rPr>
          <w:rFonts w:hint="eastAsia" w:ascii="宋体" w:hAnsi="宋体" w:eastAsia="宋体" w:cs="宋体"/>
          <w:i w:val="0"/>
          <w:iCs w:val="0"/>
          <w:caps w:val="0"/>
          <w:color w:val="333333"/>
          <w:spacing w:val="0"/>
          <w:sz w:val="21"/>
          <w:szCs w:val="21"/>
        </w:rPr>
      </w:pPr>
    </w:p>
    <w:p w14:paraId="1880C34B">
      <w:pPr>
        <w:pStyle w:val="3"/>
        <w:keepNext w:val="0"/>
        <w:keepLines w:val="0"/>
        <w:widowControl/>
        <w:numPr>
          <w:ilvl w:val="0"/>
          <w:numId w:val="0"/>
        </w:numPr>
        <w:suppressLineNumbers w:val="0"/>
        <w:spacing w:before="0" w:beforeAutospacing="0" w:after="150" w:afterAutospacing="0"/>
        <w:ind w:leftChars="0" w:right="0" w:rightChars="0"/>
        <w:rPr>
          <w:rFonts w:hint="eastAsia" w:ascii="宋体" w:hAnsi="宋体" w:eastAsia="宋体" w:cs="宋体"/>
          <w:i w:val="0"/>
          <w:iCs w:val="0"/>
          <w:caps w:val="0"/>
          <w:color w:val="333333"/>
          <w:spacing w:val="0"/>
          <w:sz w:val="21"/>
          <w:szCs w:val="21"/>
        </w:rPr>
      </w:pPr>
    </w:p>
    <w:p w14:paraId="263EE40A">
      <w:pPr>
        <w:pStyle w:val="3"/>
        <w:keepNext w:val="0"/>
        <w:keepLines w:val="0"/>
        <w:widowControl/>
        <w:numPr>
          <w:ilvl w:val="0"/>
          <w:numId w:val="0"/>
        </w:numPr>
        <w:suppressLineNumbers w:val="0"/>
        <w:spacing w:before="0" w:beforeAutospacing="0" w:after="150" w:afterAutospacing="0"/>
        <w:ind w:leftChars="0" w:right="0" w:rightChars="0"/>
        <w:rPr>
          <w:rFonts w:hint="eastAsia" w:ascii="宋体" w:hAnsi="宋体" w:eastAsia="宋体" w:cs="宋体"/>
          <w:i w:val="0"/>
          <w:iCs w:val="0"/>
          <w:caps w:val="0"/>
          <w:color w:val="333333"/>
          <w:spacing w:val="0"/>
          <w:sz w:val="21"/>
          <w:szCs w:val="21"/>
        </w:rPr>
      </w:pPr>
    </w:p>
    <w:p w14:paraId="6290388B">
      <w:pPr>
        <w:pStyle w:val="3"/>
        <w:keepNext w:val="0"/>
        <w:keepLines w:val="0"/>
        <w:widowControl/>
        <w:numPr>
          <w:ilvl w:val="0"/>
          <w:numId w:val="0"/>
        </w:numPr>
        <w:suppressLineNumbers w:val="0"/>
        <w:spacing w:before="0" w:beforeAutospacing="0" w:after="150" w:afterAutospacing="0"/>
        <w:ind w:leftChars="0" w:right="0" w:rightChars="0"/>
        <w:rPr>
          <w:rFonts w:hint="eastAsia" w:ascii="宋体" w:hAnsi="宋体" w:eastAsia="宋体" w:cs="宋体"/>
          <w:i w:val="0"/>
          <w:iCs w:val="0"/>
          <w:caps w:val="0"/>
          <w:color w:val="333333"/>
          <w:spacing w:val="0"/>
          <w:sz w:val="21"/>
          <w:szCs w:val="21"/>
        </w:rPr>
      </w:pPr>
    </w:p>
    <w:p w14:paraId="7D5B6480">
      <w:pPr>
        <w:pStyle w:val="3"/>
        <w:keepNext w:val="0"/>
        <w:keepLines w:val="0"/>
        <w:widowControl/>
        <w:numPr>
          <w:ilvl w:val="0"/>
          <w:numId w:val="0"/>
        </w:numPr>
        <w:suppressLineNumbers w:val="0"/>
        <w:spacing w:before="0" w:beforeAutospacing="0" w:after="150" w:afterAutospacing="0"/>
        <w:ind w:leftChars="0" w:right="0" w:rightChars="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lang w:val="en-US" w:eastAsia="zh-CN"/>
        </w:rPr>
        <w:t>2.</w:t>
      </w:r>
      <w:r>
        <w:rPr>
          <w:rFonts w:hint="eastAsia" w:ascii="宋体" w:hAnsi="宋体" w:eastAsia="宋体" w:cs="宋体"/>
          <w:i w:val="0"/>
          <w:iCs w:val="0"/>
          <w:caps w:val="0"/>
          <w:color w:val="333333"/>
          <w:spacing w:val="0"/>
          <w:sz w:val="28"/>
          <w:szCs w:val="28"/>
        </w:rPr>
        <w:t>慢病门诊待遇</w:t>
      </w:r>
    </w:p>
    <w:tbl>
      <w:tblPr>
        <w:tblStyle w:val="4"/>
        <w:tblW w:w="0" w:type="auto"/>
        <w:tblInd w:w="0" w:type="dxa"/>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5312"/>
        <w:gridCol w:w="1499"/>
        <w:gridCol w:w="459"/>
        <w:gridCol w:w="1066"/>
      </w:tblGrid>
      <w:tr w14:paraId="4A648F25">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15" w:type="dxa"/>
            <w:left w:w="15" w:type="dxa"/>
            <w:bottom w:w="15" w:type="dxa"/>
            <w:right w:w="15" w:type="dxa"/>
          </w:tblCellMar>
        </w:tblPrEx>
        <w:tc>
          <w:tcPr>
            <w:tcW w:w="5312"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5F77D51E">
            <w:pPr>
              <w:keepNext w:val="0"/>
              <w:keepLines w:val="0"/>
              <w:widowControl/>
              <w:suppressLineNumbers w:val="0"/>
              <w:spacing w:before="0" w:beforeAutospacing="0" w:after="0" w:afterAutospacing="0"/>
              <w:ind w:left="0" w:right="0"/>
              <w:jc w:val="center"/>
            </w:pPr>
            <w:r>
              <w:rPr>
                <w:rFonts w:hint="default" w:ascii="宋体" w:hAnsi="宋体" w:eastAsia="宋体" w:cs="宋体"/>
                <w:i w:val="0"/>
                <w:iCs w:val="0"/>
                <w:caps w:val="0"/>
                <w:color w:val="000000"/>
                <w:spacing w:val="0"/>
                <w:kern w:val="0"/>
                <w:sz w:val="24"/>
                <w:szCs w:val="24"/>
                <w:lang w:val="en-US" w:eastAsia="zh-CN" w:bidi="ar"/>
              </w:rPr>
              <w:t>病种范围</w:t>
            </w:r>
          </w:p>
        </w:tc>
        <w:tc>
          <w:tcPr>
            <w:tcW w:w="1499"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1657DD03">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医疗机构</w:t>
            </w:r>
          </w:p>
        </w:tc>
        <w:tc>
          <w:tcPr>
            <w:tcW w:w="0" w:type="auto"/>
            <w:tcBorders>
              <w:top w:val="single" w:color="CCCCCC" w:sz="6" w:space="0"/>
              <w:left w:val="single" w:color="CCCCCC" w:sz="6" w:space="0"/>
              <w:bottom w:val="single" w:color="CCCCCC" w:sz="6" w:space="0"/>
              <w:right w:val="single" w:color="CCCCCC" w:sz="6" w:space="0"/>
            </w:tcBorders>
            <w:shd w:val="clear" w:color="auto" w:fill="FFFFFF"/>
            <w:vAlign w:val="center"/>
          </w:tcPr>
          <w:p w14:paraId="2924736E">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比例</w:t>
            </w:r>
          </w:p>
        </w:tc>
        <w:tc>
          <w:tcPr>
            <w:tcW w:w="0" w:type="auto"/>
            <w:tcBorders>
              <w:top w:val="single" w:color="CCCCCC" w:sz="6" w:space="0"/>
              <w:left w:val="single" w:color="CCCCCC" w:sz="6" w:space="0"/>
              <w:bottom w:val="single" w:color="CCCCCC" w:sz="6" w:space="0"/>
              <w:right w:val="single" w:color="CCCCCC" w:sz="6" w:space="0"/>
            </w:tcBorders>
            <w:shd w:val="clear" w:color="auto" w:fill="FFFFFF"/>
            <w:vAlign w:val="center"/>
          </w:tcPr>
          <w:p w14:paraId="74CC92CA">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年度累计纳入</w:t>
            </w:r>
          </w:p>
          <w:p w14:paraId="566B3D5D">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补偿最高限额</w:t>
            </w:r>
          </w:p>
        </w:tc>
      </w:tr>
      <w:tr w14:paraId="36D314A0">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CellMar>
            <w:top w:w="15" w:type="dxa"/>
            <w:left w:w="15" w:type="dxa"/>
            <w:bottom w:w="15" w:type="dxa"/>
            <w:right w:w="15" w:type="dxa"/>
          </w:tblCellMar>
        </w:tblPrEx>
        <w:tc>
          <w:tcPr>
            <w:tcW w:w="5312" w:type="dxa"/>
            <w:vMerge w:val="restart"/>
            <w:tcBorders>
              <w:top w:val="single" w:color="CCCCCC" w:sz="6" w:space="0"/>
              <w:left w:val="single" w:color="CCCCCC" w:sz="6" w:space="0"/>
              <w:bottom w:val="single" w:color="CCCCCC" w:sz="6" w:space="0"/>
              <w:right w:val="single" w:color="CCCCCC" w:sz="6" w:space="0"/>
            </w:tcBorders>
            <w:shd w:val="clear" w:color="auto" w:fill="FFFFFF"/>
            <w:vAlign w:val="center"/>
          </w:tcPr>
          <w:p w14:paraId="7B0A3508">
            <w:pPr>
              <w:keepNext w:val="0"/>
              <w:keepLines w:val="0"/>
              <w:widowControl/>
              <w:suppressLineNumbers w:val="0"/>
              <w:spacing w:before="0" w:beforeAutospacing="0" w:after="0" w:afterAutospacing="0"/>
              <w:ind w:left="0" w:right="0"/>
              <w:jc w:val="center"/>
            </w:pPr>
            <w:r>
              <w:rPr>
                <w:rFonts w:hint="eastAsia" w:ascii="宋体" w:hAnsi="宋体" w:eastAsia="宋体" w:cs="宋体"/>
                <w:i w:val="0"/>
                <w:iCs w:val="0"/>
                <w:caps w:val="0"/>
                <w:color w:val="000000"/>
                <w:spacing w:val="0"/>
                <w:kern w:val="0"/>
                <w:sz w:val="24"/>
                <w:szCs w:val="24"/>
                <w:lang w:val="en-US" w:eastAsia="zh-CN" w:bidi="ar"/>
              </w:rPr>
              <w:t>高血压病（高危以上）、糖尿病、溃疡性结肠炎、结核病、慢性肾小球肾炎、甲状腺功能亢进或减退症、银屑病、冠心病、肺气肿、扩张型心肌病、支气管哮喘、肺源性心脏病、慢性阻塞性肺疾病、脑梗死、艾滋病机会性感染</w:t>
            </w:r>
          </w:p>
        </w:tc>
        <w:tc>
          <w:tcPr>
            <w:tcW w:w="1499"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387A0B1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一级定点医疗机构</w:t>
            </w:r>
          </w:p>
          <w:p w14:paraId="338B435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（含镇、街道医疗机构所属的</w:t>
            </w:r>
          </w:p>
          <w:p w14:paraId="35B0AFEE">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延伸网点）</w:t>
            </w:r>
          </w:p>
        </w:tc>
        <w:tc>
          <w:tcPr>
            <w:tcW w:w="0" w:type="auto"/>
            <w:tcBorders>
              <w:top w:val="single" w:color="CCCCCC" w:sz="6" w:space="0"/>
              <w:left w:val="single" w:color="CCCCCC" w:sz="6" w:space="0"/>
              <w:bottom w:val="single" w:color="CCCCCC" w:sz="6" w:space="0"/>
              <w:right w:val="single" w:color="CCCCCC" w:sz="6" w:space="0"/>
            </w:tcBorders>
            <w:shd w:val="clear" w:color="auto" w:fill="FFFFFF"/>
            <w:vAlign w:val="center"/>
          </w:tcPr>
          <w:p w14:paraId="1271F0AE">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70%</w:t>
            </w:r>
          </w:p>
        </w:tc>
        <w:tc>
          <w:tcPr>
            <w:tcW w:w="0" w:type="auto"/>
            <w:vMerge w:val="restart"/>
            <w:tcBorders>
              <w:top w:val="single" w:color="CCCCCC" w:sz="6" w:space="0"/>
              <w:left w:val="single" w:color="CCCCCC" w:sz="6" w:space="0"/>
              <w:bottom w:val="single" w:color="CCCCCC" w:sz="6" w:space="0"/>
              <w:right w:val="single" w:color="CCCCCC" w:sz="6" w:space="0"/>
            </w:tcBorders>
            <w:shd w:val="clear" w:color="auto" w:fill="FFFFFF"/>
            <w:vAlign w:val="center"/>
          </w:tcPr>
          <w:p w14:paraId="30FBB58C">
            <w:pPr>
              <w:pStyle w:val="3"/>
              <w:keepNext w:val="0"/>
              <w:keepLines w:val="0"/>
              <w:widowControl/>
              <w:suppressLineNumbers w:val="0"/>
              <w:spacing w:before="0" w:beforeAutospacing="0" w:after="0" w:afterAutospacing="0"/>
              <w:ind w:left="0" w:right="0"/>
              <w:jc w:val="center"/>
            </w:pPr>
            <w:r>
              <w:rPr>
                <w:rFonts w:hint="default" w:ascii="宋体" w:hAnsi="宋体" w:eastAsia="宋体" w:cs="宋体"/>
                <w:i w:val="0"/>
                <w:iCs w:val="0"/>
                <w:caps w:val="0"/>
                <w:color w:val="000000"/>
                <w:spacing w:val="0"/>
                <w:kern w:val="0"/>
                <w:sz w:val="24"/>
                <w:szCs w:val="24"/>
                <w:lang w:val="en-US" w:eastAsia="zh-CN" w:bidi="ar"/>
              </w:rPr>
              <w:t>3000元</w:t>
            </w:r>
          </w:p>
        </w:tc>
      </w:tr>
      <w:tr w14:paraId="73D77960">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CellMar>
            <w:top w:w="15" w:type="dxa"/>
            <w:left w:w="15" w:type="dxa"/>
            <w:bottom w:w="15" w:type="dxa"/>
            <w:right w:w="15" w:type="dxa"/>
          </w:tblCellMar>
        </w:tblPrEx>
        <w:tc>
          <w:tcPr>
            <w:tcW w:w="5312" w:type="dxa"/>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1C440532">
            <w:pPr>
              <w:jc w:val="center"/>
              <w:rPr>
                <w:rFonts w:hint="default" w:ascii="Helvetica" w:hAnsi="Helvetica" w:eastAsia="Helvetica" w:cs="Helvetica"/>
                <w:i w:val="0"/>
                <w:iCs w:val="0"/>
                <w:caps w:val="0"/>
                <w:color w:val="000000"/>
                <w:spacing w:val="0"/>
                <w:sz w:val="27"/>
                <w:szCs w:val="27"/>
              </w:rPr>
            </w:pPr>
          </w:p>
        </w:tc>
        <w:tc>
          <w:tcPr>
            <w:tcW w:w="1499"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5379882B">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二级医疗机构（含县级人民医院、</w:t>
            </w:r>
          </w:p>
          <w:p w14:paraId="332A400D">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中医院）</w:t>
            </w:r>
          </w:p>
        </w:tc>
        <w:tc>
          <w:tcPr>
            <w:tcW w:w="0" w:type="auto"/>
            <w:tcBorders>
              <w:top w:val="single" w:color="CCCCCC" w:sz="6" w:space="0"/>
              <w:left w:val="single" w:color="CCCCCC" w:sz="6" w:space="0"/>
              <w:bottom w:val="single" w:color="CCCCCC" w:sz="6" w:space="0"/>
              <w:right w:val="single" w:color="CCCCCC" w:sz="6" w:space="0"/>
            </w:tcBorders>
            <w:shd w:val="clear" w:color="auto" w:fill="FFFFFF"/>
            <w:vAlign w:val="center"/>
          </w:tcPr>
          <w:p w14:paraId="58E4BD35">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60%</w:t>
            </w:r>
          </w:p>
        </w:tc>
        <w:tc>
          <w:tcPr>
            <w:tcW w:w="0" w:type="auto"/>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5BB4DEC1">
            <w:pPr>
              <w:rPr>
                <w:rFonts w:hint="default" w:ascii="Helvetica" w:hAnsi="Helvetica" w:eastAsia="Helvetica" w:cs="Helvetica"/>
                <w:i w:val="0"/>
                <w:iCs w:val="0"/>
                <w:caps w:val="0"/>
                <w:color w:val="000000"/>
                <w:spacing w:val="0"/>
                <w:sz w:val="27"/>
                <w:szCs w:val="27"/>
              </w:rPr>
            </w:pPr>
          </w:p>
        </w:tc>
      </w:tr>
      <w:tr w14:paraId="7DB82FF1">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15" w:type="dxa"/>
            <w:left w:w="15" w:type="dxa"/>
            <w:bottom w:w="15" w:type="dxa"/>
            <w:right w:w="15" w:type="dxa"/>
          </w:tblCellMar>
        </w:tblPrEx>
        <w:tc>
          <w:tcPr>
            <w:tcW w:w="5312" w:type="dxa"/>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57D6A2D9">
            <w:pPr>
              <w:jc w:val="center"/>
              <w:rPr>
                <w:rFonts w:hint="default" w:ascii="Helvetica" w:hAnsi="Helvetica" w:eastAsia="Helvetica" w:cs="Helvetica"/>
                <w:i w:val="0"/>
                <w:iCs w:val="0"/>
                <w:caps w:val="0"/>
                <w:color w:val="000000"/>
                <w:spacing w:val="0"/>
                <w:sz w:val="27"/>
                <w:szCs w:val="27"/>
              </w:rPr>
            </w:pPr>
          </w:p>
        </w:tc>
        <w:tc>
          <w:tcPr>
            <w:tcW w:w="1499"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5FB55AD5">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三级医疗机构</w:t>
            </w:r>
          </w:p>
        </w:tc>
        <w:tc>
          <w:tcPr>
            <w:tcW w:w="0" w:type="auto"/>
            <w:tcBorders>
              <w:top w:val="single" w:color="CCCCCC" w:sz="6" w:space="0"/>
              <w:left w:val="single" w:color="CCCCCC" w:sz="6" w:space="0"/>
              <w:bottom w:val="single" w:color="CCCCCC" w:sz="6" w:space="0"/>
              <w:right w:val="single" w:color="CCCCCC" w:sz="6" w:space="0"/>
            </w:tcBorders>
            <w:shd w:val="clear" w:color="auto" w:fill="FFFFFF"/>
            <w:vAlign w:val="center"/>
          </w:tcPr>
          <w:p w14:paraId="7C0FF3EF">
            <w:pPr>
              <w:keepNext w:val="0"/>
              <w:keepLines w:val="0"/>
              <w:widowControl/>
              <w:suppressLineNumbers w:val="0"/>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default" w:ascii="宋体" w:hAnsi="宋体" w:eastAsia="宋体" w:cs="宋体"/>
                <w:i w:val="0"/>
                <w:iCs w:val="0"/>
                <w:caps w:val="0"/>
                <w:color w:val="000000"/>
                <w:spacing w:val="0"/>
                <w:kern w:val="0"/>
                <w:sz w:val="24"/>
                <w:szCs w:val="24"/>
                <w:lang w:val="en-US" w:eastAsia="zh-CN" w:bidi="ar"/>
              </w:rPr>
              <w:t>50%</w:t>
            </w:r>
          </w:p>
        </w:tc>
        <w:tc>
          <w:tcPr>
            <w:tcW w:w="0" w:type="auto"/>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767C02E6">
            <w:pPr>
              <w:rPr>
                <w:rFonts w:hint="default" w:ascii="Helvetica" w:hAnsi="Helvetica" w:eastAsia="Helvetica" w:cs="Helvetica"/>
                <w:i w:val="0"/>
                <w:iCs w:val="0"/>
                <w:caps w:val="0"/>
                <w:color w:val="000000"/>
                <w:spacing w:val="0"/>
                <w:sz w:val="27"/>
                <w:szCs w:val="27"/>
              </w:rPr>
            </w:pPr>
          </w:p>
        </w:tc>
      </w:tr>
    </w:tbl>
    <w:p w14:paraId="0C63FD58">
      <w:pPr>
        <w:pStyle w:val="3"/>
        <w:keepNext w:val="0"/>
        <w:keepLines w:val="0"/>
        <w:widowControl/>
        <w:numPr>
          <w:ilvl w:val="0"/>
          <w:numId w:val="0"/>
        </w:numPr>
        <w:suppressLineNumbers w:val="0"/>
        <w:spacing w:before="0" w:beforeAutospacing="0" w:after="150" w:afterAutospacing="0"/>
        <w:ind w:leftChars="0" w:right="0" w:rightChars="0"/>
        <w:rPr>
          <w:rFonts w:hint="eastAsia" w:ascii="宋体" w:hAnsi="宋体" w:eastAsia="宋体" w:cs="宋体"/>
          <w:i w:val="0"/>
          <w:iCs w:val="0"/>
          <w:caps w:val="0"/>
          <w:color w:val="333333"/>
          <w:spacing w:val="0"/>
          <w:sz w:val="21"/>
          <w:szCs w:val="21"/>
        </w:rPr>
      </w:pPr>
    </w:p>
    <w:p w14:paraId="04F7ACB3">
      <w:pPr>
        <w:pStyle w:val="3"/>
        <w:keepNext w:val="0"/>
        <w:keepLines w:val="0"/>
        <w:widowControl/>
        <w:suppressLineNumbers w:val="0"/>
        <w:spacing w:before="0" w:beforeAutospacing="0" w:after="150" w:afterAutospacing="0"/>
        <w:ind w:left="0" w:right="0"/>
      </w:pPr>
    </w:p>
    <w:p w14:paraId="43D9C305">
      <w:pPr>
        <w:pStyle w:val="3"/>
        <w:keepNext w:val="0"/>
        <w:keepLines w:val="0"/>
        <w:widowControl/>
        <w:suppressLineNumbers w:val="0"/>
        <w:spacing w:before="0" w:beforeAutospacing="0" w:after="150" w:afterAutospacing="0"/>
        <w:ind w:left="0" w:right="0" w:firstLine="420" w:firstLineChars="200"/>
        <w:rPr>
          <w:rFonts w:hint="eastAsia" w:ascii="宋体" w:hAnsi="宋体" w:eastAsia="宋体" w:cs="宋体"/>
          <w:i w:val="0"/>
          <w:iCs w:val="0"/>
          <w:caps w:val="0"/>
          <w:color w:val="333333"/>
          <w:spacing w:val="0"/>
          <w:sz w:val="21"/>
          <w:szCs w:val="21"/>
          <w:lang w:eastAsia="zh-CN"/>
        </w:rPr>
      </w:pPr>
      <w:r>
        <w:rPr>
          <w:rFonts w:hint="eastAsia" w:ascii="宋体" w:hAnsi="宋体" w:eastAsia="宋体" w:cs="宋体"/>
          <w:i w:val="0"/>
          <w:iCs w:val="0"/>
          <w:caps w:val="0"/>
          <w:color w:val="333333"/>
          <w:spacing w:val="0"/>
          <w:sz w:val="21"/>
          <w:szCs w:val="21"/>
        </w:rPr>
        <w:t>慢性病病种范围：高血压病（高危以上）、糖尿病、溃疡性结肠炎、结核病</w:t>
      </w:r>
      <w:r>
        <w:rPr>
          <w:rFonts w:hint="eastAsia" w:ascii="宋体" w:hAnsi="宋体" w:eastAsia="宋体" w:cs="宋体"/>
          <w:i w:val="0"/>
          <w:iCs w:val="0"/>
          <w:caps w:val="0"/>
          <w:color w:val="333333"/>
          <w:spacing w:val="0"/>
          <w:sz w:val="21"/>
          <w:szCs w:val="21"/>
          <w:lang w:eastAsia="zh-CN"/>
        </w:rPr>
        <w:t>（</w:t>
      </w:r>
      <w:r>
        <w:rPr>
          <w:rFonts w:hint="eastAsia" w:ascii="宋体" w:hAnsi="宋体" w:eastAsia="宋体" w:cs="宋体"/>
          <w:i w:val="0"/>
          <w:iCs w:val="0"/>
          <w:caps w:val="0"/>
          <w:color w:val="333333"/>
          <w:spacing w:val="0"/>
          <w:sz w:val="21"/>
          <w:szCs w:val="21"/>
        </w:rPr>
        <w:t>肺结核除外</w:t>
      </w:r>
      <w:r>
        <w:rPr>
          <w:rFonts w:hint="eastAsia" w:ascii="宋体" w:hAnsi="宋体" w:eastAsia="宋体" w:cs="宋体"/>
          <w:i w:val="0"/>
          <w:iCs w:val="0"/>
          <w:caps w:val="0"/>
          <w:color w:val="333333"/>
          <w:spacing w:val="0"/>
          <w:sz w:val="21"/>
          <w:szCs w:val="21"/>
          <w:lang w:eastAsia="zh-CN"/>
        </w:rPr>
        <w:t>）</w:t>
      </w:r>
      <w:r>
        <w:rPr>
          <w:rFonts w:hint="eastAsia" w:ascii="宋体" w:hAnsi="宋体" w:eastAsia="宋体" w:cs="宋体"/>
          <w:i w:val="0"/>
          <w:iCs w:val="0"/>
          <w:caps w:val="0"/>
          <w:color w:val="333333"/>
          <w:spacing w:val="0"/>
          <w:sz w:val="21"/>
          <w:szCs w:val="21"/>
        </w:rPr>
        <w:t>、慢性肾小球肾炎、甲状腺功能亢进或减退症、银屑病、冠心病、肺气肿、扩张型心肌病、支气管哮喘、肺源性心脏病、慢性阻塞性肺疾病、脑梗死、艾滋病机会性感染</w:t>
      </w:r>
      <w:r>
        <w:rPr>
          <w:rFonts w:hint="eastAsia" w:ascii="宋体" w:hAnsi="宋体" w:eastAsia="宋体" w:cs="宋体"/>
          <w:i w:val="0"/>
          <w:iCs w:val="0"/>
          <w:caps w:val="0"/>
          <w:color w:val="333333"/>
          <w:spacing w:val="0"/>
          <w:sz w:val="21"/>
          <w:szCs w:val="21"/>
          <w:lang w:eastAsia="zh-CN"/>
        </w:rPr>
        <w:t>。</w:t>
      </w:r>
    </w:p>
    <w:p w14:paraId="773B40FF">
      <w:pPr>
        <w:pStyle w:val="3"/>
        <w:keepNext w:val="0"/>
        <w:keepLines w:val="0"/>
        <w:widowControl/>
        <w:suppressLineNumbers w:val="0"/>
        <w:spacing w:before="0" w:beforeAutospacing="0" w:after="150" w:afterAutospacing="0"/>
        <w:ind w:left="0" w:right="0" w:firstLine="0"/>
      </w:pPr>
      <w:r>
        <w:rPr>
          <w:rFonts w:hint="eastAsia" w:ascii="微软雅黑" w:hAnsi="微软雅黑" w:eastAsia="微软雅黑" w:cs="微软雅黑"/>
          <w:i w:val="0"/>
          <w:iCs w:val="0"/>
          <w:caps w:val="0"/>
          <w:color w:val="333333"/>
          <w:spacing w:val="0"/>
          <w:sz w:val="21"/>
          <w:szCs w:val="21"/>
        </w:rPr>
        <w:t>3.</w:t>
      </w:r>
      <w:r>
        <w:rPr>
          <w:rFonts w:hint="eastAsia" w:ascii="宋体" w:hAnsi="宋体" w:eastAsia="宋体" w:cs="宋体"/>
          <w:i w:val="0"/>
          <w:iCs w:val="0"/>
          <w:caps w:val="0"/>
          <w:color w:val="333333"/>
          <w:spacing w:val="0"/>
          <w:sz w:val="21"/>
          <w:szCs w:val="21"/>
        </w:rPr>
        <w:t>“两病”门诊：</w:t>
      </w:r>
    </w:p>
    <w:p w14:paraId="7B49AA55">
      <w:pPr>
        <w:pStyle w:val="3"/>
        <w:keepNext w:val="0"/>
        <w:keepLines w:val="0"/>
        <w:widowControl/>
        <w:suppressLineNumbers w:val="0"/>
        <w:spacing w:before="0" w:beforeAutospacing="0" w:after="150" w:afterAutospacing="0"/>
        <w:ind w:left="0" w:right="0" w:firstLine="420" w:firstLineChars="200"/>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城乡居民保险中的“两病”是指高血压和糖尿病，符合“两病”诊断标准且确需采取药物治疗，但未达到我市城乡居民医保高血压病（高危以上）或糖尿病Ⅱ型的门诊慢性病种标准的参保人员，需向当地一、二级定点医疗机构申请病种认定，可在全市二级定点医疗机构（含县级人民医院、中医院）、一级定点医疗机构（含镇、街道医疗机构所属的延伸网点）门诊就医，使用国家基本医疗保险药品目录内直接用于降血压、降血糖的治疗性药品，享受相应的城乡居民“两病”门诊用药。患有“两病”之一的，自然年度内纳入支付的药品费用限额为1600元；同时患有“两病”的，药品费用限额2000元。</w:t>
      </w:r>
    </w:p>
    <w:tbl>
      <w:tblPr>
        <w:tblStyle w:val="4"/>
        <w:tblW w:w="82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840"/>
        <w:gridCol w:w="2280"/>
        <w:gridCol w:w="2100"/>
      </w:tblGrid>
      <w:tr w14:paraId="218F6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38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7046ED8">
            <w:pPr>
              <w:pStyle w:val="3"/>
              <w:keepNext w:val="0"/>
              <w:keepLines w:val="0"/>
              <w:widowControl/>
              <w:suppressLineNumbers w:val="0"/>
              <w:wordWrap w:val="0"/>
              <w:spacing w:before="0" w:beforeAutospacing="0" w:after="150" w:afterAutospacing="0"/>
              <w:ind w:left="0" w:right="0"/>
              <w:jc w:val="center"/>
              <w:rPr>
                <w:rFonts w:hint="default" w:eastAsiaTheme="minorEastAsia"/>
                <w:lang w:val="en-US" w:eastAsia="zh-CN"/>
              </w:rPr>
            </w:pPr>
            <w:r>
              <w:rPr>
                <w:rFonts w:hint="eastAsia"/>
                <w:lang w:val="en-US" w:eastAsia="zh-CN"/>
              </w:rPr>
              <w:t>医疗机构</w:t>
            </w:r>
          </w:p>
        </w:tc>
        <w:tc>
          <w:tcPr>
            <w:tcW w:w="228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35B10E7">
            <w:pPr>
              <w:pStyle w:val="3"/>
              <w:keepNext w:val="0"/>
              <w:keepLines w:val="0"/>
              <w:widowControl/>
              <w:suppressLineNumbers w:val="0"/>
              <w:spacing w:before="0" w:beforeAutospacing="0" w:after="150" w:afterAutospacing="0"/>
              <w:ind w:left="0" w:right="0"/>
              <w:jc w:val="center"/>
            </w:pPr>
            <w:r>
              <w:rPr>
                <w:rFonts w:hint="eastAsia" w:ascii="宋体" w:hAnsi="宋体" w:eastAsia="宋体" w:cs="宋体"/>
                <w:i w:val="0"/>
                <w:iCs w:val="0"/>
                <w:caps w:val="0"/>
                <w:color w:val="333333"/>
                <w:spacing w:val="0"/>
                <w:sz w:val="21"/>
                <w:szCs w:val="21"/>
              </w:rPr>
              <w:t>年度起付标准</w:t>
            </w:r>
          </w:p>
        </w:tc>
        <w:tc>
          <w:tcPr>
            <w:tcW w:w="21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C7A6A4F">
            <w:pPr>
              <w:pStyle w:val="3"/>
              <w:keepNext w:val="0"/>
              <w:keepLines w:val="0"/>
              <w:widowControl/>
              <w:suppressLineNumbers w:val="0"/>
              <w:spacing w:before="0" w:beforeAutospacing="0" w:after="150" w:afterAutospacing="0"/>
              <w:ind w:left="0" w:right="0"/>
              <w:jc w:val="center"/>
            </w:pPr>
            <w:r>
              <w:rPr>
                <w:rFonts w:hint="eastAsia" w:ascii="宋体" w:hAnsi="宋体" w:eastAsia="宋体" w:cs="宋体"/>
                <w:i w:val="0"/>
                <w:iCs w:val="0"/>
                <w:caps w:val="0"/>
                <w:color w:val="333333"/>
                <w:spacing w:val="0"/>
                <w:sz w:val="21"/>
                <w:szCs w:val="21"/>
              </w:rPr>
              <w:t>报销比例</w:t>
            </w:r>
          </w:p>
        </w:tc>
      </w:tr>
      <w:tr w14:paraId="42561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40" w:hRule="atLeast"/>
        </w:trPr>
        <w:tc>
          <w:tcPr>
            <w:tcW w:w="384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26C8055">
            <w:pPr>
              <w:pStyle w:val="3"/>
              <w:keepNext w:val="0"/>
              <w:keepLines w:val="0"/>
              <w:widowControl/>
              <w:suppressLineNumbers w:val="0"/>
              <w:spacing w:before="0" w:beforeAutospacing="0" w:after="150" w:afterAutospacing="0"/>
              <w:ind w:left="0" w:right="0"/>
              <w:jc w:val="center"/>
            </w:pPr>
            <w:r>
              <w:rPr>
                <w:rFonts w:hint="eastAsia" w:ascii="宋体" w:hAnsi="宋体" w:eastAsia="宋体" w:cs="宋体"/>
                <w:i w:val="0"/>
                <w:iCs w:val="0"/>
                <w:caps w:val="0"/>
                <w:color w:val="333333"/>
                <w:spacing w:val="0"/>
                <w:sz w:val="21"/>
                <w:szCs w:val="21"/>
              </w:rPr>
              <w:t>一级定点医疗机构（含镇、街道医疗机构所属的延伸网点）</w:t>
            </w: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E1EFEA7">
            <w:pPr>
              <w:pStyle w:val="3"/>
              <w:keepNext w:val="0"/>
              <w:keepLines w:val="0"/>
              <w:widowControl/>
              <w:suppressLineNumbers w:val="0"/>
              <w:spacing w:before="0" w:beforeAutospacing="0" w:after="150" w:afterAutospacing="0"/>
              <w:ind w:left="0" w:right="0"/>
              <w:jc w:val="center"/>
              <w:rPr>
                <w:rFonts w:hint="eastAsia" w:eastAsiaTheme="minorEastAsia"/>
                <w:lang w:val="en-US" w:eastAsia="zh-CN"/>
              </w:rPr>
            </w:pPr>
            <w:r>
              <w:rPr>
                <w:rFonts w:hint="eastAsia" w:ascii="宋体" w:hAnsi="宋体" w:eastAsia="宋体" w:cs="宋体"/>
                <w:i w:val="0"/>
                <w:iCs w:val="0"/>
                <w:caps w:val="0"/>
                <w:color w:val="333333"/>
                <w:spacing w:val="0"/>
                <w:sz w:val="21"/>
                <w:szCs w:val="21"/>
                <w:lang w:val="en-US" w:eastAsia="zh-CN"/>
              </w:rPr>
              <w:t>0</w:t>
            </w:r>
          </w:p>
        </w:tc>
        <w:tc>
          <w:tcPr>
            <w:tcW w:w="21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68CD6EC">
            <w:pPr>
              <w:pStyle w:val="3"/>
              <w:keepNext w:val="0"/>
              <w:keepLines w:val="0"/>
              <w:widowControl/>
              <w:suppressLineNumbers w:val="0"/>
              <w:spacing w:before="0" w:beforeAutospacing="0" w:after="150" w:afterAutospacing="0"/>
              <w:ind w:left="0" w:right="0"/>
              <w:jc w:val="center"/>
            </w:pPr>
            <w:r>
              <w:rPr>
                <w:rFonts w:hint="eastAsia" w:ascii="宋体" w:hAnsi="宋体" w:eastAsia="宋体" w:cs="宋体"/>
                <w:i w:val="0"/>
                <w:iCs w:val="0"/>
                <w:caps w:val="0"/>
                <w:color w:val="333333"/>
                <w:spacing w:val="0"/>
                <w:sz w:val="21"/>
                <w:szCs w:val="21"/>
                <w:lang w:val="en-US" w:eastAsia="zh-CN"/>
              </w:rPr>
              <w:t>60%</w:t>
            </w:r>
          </w:p>
        </w:tc>
      </w:tr>
      <w:tr w14:paraId="7D90E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384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2D44E2B">
            <w:pPr>
              <w:pStyle w:val="3"/>
              <w:keepNext w:val="0"/>
              <w:keepLines w:val="0"/>
              <w:widowControl/>
              <w:suppressLineNumbers w:val="0"/>
              <w:spacing w:before="0" w:beforeAutospacing="0" w:after="150" w:afterAutospacing="0"/>
              <w:ind w:left="0" w:right="0"/>
              <w:jc w:val="center"/>
            </w:pPr>
            <w:r>
              <w:rPr>
                <w:rFonts w:hint="eastAsia" w:ascii="宋体" w:hAnsi="宋体" w:eastAsia="宋体" w:cs="宋体"/>
                <w:i w:val="0"/>
                <w:iCs w:val="0"/>
                <w:caps w:val="0"/>
                <w:color w:val="333333"/>
                <w:spacing w:val="0"/>
                <w:sz w:val="21"/>
                <w:szCs w:val="21"/>
              </w:rPr>
              <w:t>全市二级定点医疗机构（含县级人民医院、中医院）</w:t>
            </w: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3E8D7F2">
            <w:pPr>
              <w:pStyle w:val="3"/>
              <w:keepNext w:val="0"/>
              <w:keepLines w:val="0"/>
              <w:widowControl/>
              <w:suppressLineNumbers w:val="0"/>
              <w:spacing w:before="0" w:beforeAutospacing="0" w:after="150" w:afterAutospacing="0"/>
              <w:ind w:left="0" w:right="0"/>
              <w:jc w:val="center"/>
              <w:rPr>
                <w:rFonts w:hint="default" w:eastAsiaTheme="minorEastAsia"/>
                <w:lang w:val="en-US" w:eastAsia="zh-CN"/>
              </w:rPr>
            </w:pPr>
            <w:r>
              <w:rPr>
                <w:rFonts w:hint="eastAsia" w:ascii="宋体" w:hAnsi="宋体" w:eastAsia="宋体" w:cs="宋体"/>
                <w:i w:val="0"/>
                <w:iCs w:val="0"/>
                <w:caps w:val="0"/>
                <w:color w:val="333333"/>
                <w:spacing w:val="0"/>
                <w:sz w:val="21"/>
                <w:szCs w:val="21"/>
                <w:lang w:val="en-US" w:eastAsia="zh-CN"/>
              </w:rPr>
              <w:t>100</w:t>
            </w:r>
          </w:p>
        </w:tc>
        <w:tc>
          <w:tcPr>
            <w:tcW w:w="21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5FB4C94">
            <w:pPr>
              <w:pStyle w:val="3"/>
              <w:keepNext w:val="0"/>
              <w:keepLines w:val="0"/>
              <w:widowControl/>
              <w:suppressLineNumbers w:val="0"/>
              <w:spacing w:before="0" w:beforeAutospacing="0" w:after="150" w:afterAutospacing="0"/>
              <w:ind w:left="0" w:right="0"/>
              <w:jc w:val="center"/>
            </w:pPr>
            <w:r>
              <w:rPr>
                <w:rFonts w:hint="eastAsia" w:ascii="宋体" w:hAnsi="宋体" w:eastAsia="宋体" w:cs="宋体"/>
                <w:i w:val="0"/>
                <w:iCs w:val="0"/>
                <w:caps w:val="0"/>
                <w:color w:val="333333"/>
                <w:spacing w:val="0"/>
                <w:sz w:val="21"/>
                <w:szCs w:val="21"/>
                <w:lang w:val="en-US" w:eastAsia="zh-CN"/>
              </w:rPr>
              <w:t>50%</w:t>
            </w:r>
          </w:p>
        </w:tc>
      </w:tr>
    </w:tbl>
    <w:p w14:paraId="7173F0C1">
      <w:pPr>
        <w:pStyle w:val="3"/>
        <w:keepNext w:val="0"/>
        <w:keepLines w:val="0"/>
        <w:widowControl/>
        <w:suppressLineNumbers w:val="0"/>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p>
    <w:p w14:paraId="169F4D25">
      <w:pPr>
        <w:pStyle w:val="3"/>
        <w:keepNext w:val="0"/>
        <w:keepLines w:val="0"/>
        <w:widowControl/>
        <w:suppressLineNumbers w:val="0"/>
        <w:spacing w:before="0" w:beforeAutospacing="0" w:after="150" w:afterAutospacing="0"/>
        <w:ind w:left="0" w:right="0" w:firstLine="0"/>
      </w:pPr>
      <w:r>
        <w:rPr>
          <w:rFonts w:hint="eastAsia" w:ascii="微软雅黑" w:hAnsi="微软雅黑" w:eastAsia="微软雅黑" w:cs="微软雅黑"/>
          <w:i w:val="0"/>
          <w:iCs w:val="0"/>
          <w:caps w:val="0"/>
          <w:color w:val="333333"/>
          <w:spacing w:val="0"/>
          <w:sz w:val="21"/>
          <w:szCs w:val="21"/>
        </w:rPr>
        <w:t>4.</w:t>
      </w:r>
      <w:r>
        <w:rPr>
          <w:rFonts w:hint="eastAsia" w:ascii="宋体" w:hAnsi="宋体" w:eastAsia="宋体" w:cs="宋体"/>
          <w:i w:val="0"/>
          <w:iCs w:val="0"/>
          <w:caps w:val="0"/>
          <w:color w:val="000000"/>
          <w:spacing w:val="0"/>
          <w:sz w:val="21"/>
          <w:szCs w:val="21"/>
        </w:rPr>
        <w:t>门诊特殊病</w:t>
      </w:r>
    </w:p>
    <w:p w14:paraId="30032AE8">
      <w:pPr>
        <w:pStyle w:val="3"/>
        <w:keepNext w:val="0"/>
        <w:keepLines w:val="0"/>
        <w:widowControl/>
        <w:suppressLineNumbers w:val="0"/>
        <w:spacing w:before="0" w:beforeAutospacing="0" w:after="150" w:afterAutospacing="0"/>
        <w:ind w:left="0" w:right="0" w:firstLine="420" w:firstLineChars="200"/>
        <w:rPr>
          <w:rFonts w:hint="eastAsia" w:ascii="宋体" w:hAnsi="宋体" w:eastAsia="宋体" w:cs="宋体"/>
          <w:i w:val="0"/>
          <w:iCs w:val="0"/>
          <w:caps w:val="0"/>
          <w:color w:val="333333"/>
          <w:spacing w:val="0"/>
          <w:sz w:val="21"/>
          <w:szCs w:val="21"/>
          <w:lang w:eastAsia="zh-CN"/>
        </w:rPr>
      </w:pPr>
      <w:r>
        <w:rPr>
          <w:rFonts w:hint="eastAsia" w:ascii="宋体" w:hAnsi="宋体" w:eastAsia="宋体" w:cs="宋体"/>
          <w:i w:val="0"/>
          <w:iCs w:val="0"/>
          <w:caps w:val="0"/>
          <w:color w:val="333333"/>
          <w:spacing w:val="0"/>
          <w:sz w:val="21"/>
          <w:szCs w:val="21"/>
        </w:rPr>
        <w:t>特殊病病种范围</w:t>
      </w:r>
      <w:r>
        <w:rPr>
          <w:rFonts w:hint="eastAsia" w:ascii="宋体" w:hAnsi="宋体" w:eastAsia="宋体" w:cs="宋体"/>
          <w:i w:val="0"/>
          <w:iCs w:val="0"/>
          <w:caps w:val="0"/>
          <w:color w:val="333333"/>
          <w:spacing w:val="0"/>
          <w:sz w:val="21"/>
          <w:szCs w:val="21"/>
          <w:lang w:eastAsia="zh-CN"/>
        </w:rPr>
        <w:t>：</w:t>
      </w:r>
      <w:r>
        <w:rPr>
          <w:rFonts w:hint="eastAsia" w:ascii="宋体" w:hAnsi="宋体" w:eastAsia="宋体" w:cs="宋体"/>
          <w:i w:val="0"/>
          <w:iCs w:val="0"/>
          <w:caps w:val="0"/>
          <w:color w:val="333333"/>
          <w:spacing w:val="0"/>
          <w:sz w:val="21"/>
          <w:szCs w:val="21"/>
        </w:rPr>
        <w:t>恶性肿瘤（放疗、化疗、介入治疗、生物靶向药物冶疗、内分泌治疗）、慢性肾功能衷竭（血液透析、腹膜透析、非透析治疗）、严重精神障碍</w:t>
      </w:r>
      <w:r>
        <w:rPr>
          <w:rFonts w:hint="default" w:ascii="宋体" w:hAnsi="宋体" w:eastAsia="宋体" w:cs="宋体"/>
          <w:i w:val="0"/>
          <w:iCs w:val="0"/>
          <w:caps w:val="0"/>
          <w:color w:val="333333"/>
          <w:spacing w:val="0"/>
          <w:sz w:val="21"/>
          <w:szCs w:val="21"/>
        </w:rPr>
        <w:t>(</w:t>
      </w:r>
      <w:r>
        <w:rPr>
          <w:rFonts w:hint="eastAsia" w:ascii="宋体" w:hAnsi="宋体" w:eastAsia="宋体" w:cs="宋体"/>
          <w:i w:val="0"/>
          <w:iCs w:val="0"/>
          <w:caps w:val="0"/>
          <w:color w:val="333333"/>
          <w:spacing w:val="0"/>
          <w:sz w:val="21"/>
          <w:szCs w:val="21"/>
        </w:rPr>
        <w:t>精神分裂症、分裂情惑性障碍、分裂情感性障碍、双向情感障碍、癍痫所致精神障碍、精祌发育迟滞件发精神障碍、其他严重精神障碍类疾病）、抑郁症</w:t>
      </w:r>
      <w:r>
        <w:rPr>
          <w:rFonts w:hint="default" w:ascii="宋体" w:hAnsi="宋体" w:eastAsia="宋体" w:cs="宋体"/>
          <w:i w:val="0"/>
          <w:iCs w:val="0"/>
          <w:caps w:val="0"/>
          <w:color w:val="333333"/>
          <w:spacing w:val="0"/>
          <w:sz w:val="21"/>
          <w:szCs w:val="21"/>
        </w:rPr>
        <w:t>(</w:t>
      </w:r>
      <w:r>
        <w:rPr>
          <w:rFonts w:hint="eastAsia" w:ascii="宋体" w:hAnsi="宋体" w:eastAsia="宋体" w:cs="宋体"/>
          <w:i w:val="0"/>
          <w:iCs w:val="0"/>
          <w:caps w:val="0"/>
          <w:color w:val="333333"/>
          <w:spacing w:val="0"/>
          <w:sz w:val="21"/>
          <w:szCs w:val="21"/>
        </w:rPr>
        <w:t>经过专科住院治疗）、血友病、器官移植术后抗排异治疗、再生障碍性贫血、系统性红斑狼疮、肺结核、肾病综合征、慢性乙型肝炎、肝硬化、脑卒中恢复期（</w:t>
      </w:r>
      <w:r>
        <w:rPr>
          <w:rFonts w:hint="default" w:ascii="宋体" w:hAnsi="宋体" w:eastAsia="宋体" w:cs="宋体"/>
          <w:i w:val="0"/>
          <w:iCs w:val="0"/>
          <w:caps w:val="0"/>
          <w:color w:val="333333"/>
          <w:spacing w:val="0"/>
          <w:sz w:val="21"/>
          <w:szCs w:val="21"/>
        </w:rPr>
        <w:t>2</w:t>
      </w:r>
      <w:r>
        <w:rPr>
          <w:rFonts w:hint="eastAsia" w:ascii="宋体" w:hAnsi="宋体" w:eastAsia="宋体" w:cs="宋体"/>
          <w:i w:val="0"/>
          <w:iCs w:val="0"/>
          <w:caps w:val="0"/>
          <w:color w:val="333333"/>
          <w:spacing w:val="0"/>
          <w:sz w:val="21"/>
          <w:szCs w:val="21"/>
        </w:rPr>
        <w:t>年内）、帕金森病、重症肌无力、类风湿病、强直性脊柱炎、皮肌炎、免疫性血小板减少症、骨髓增生异常综合症、自身免疫性肝病、克罗恩病、干燥综合症、垂体瘤、远动神经元病、多发性肌炎、儿童</w:t>
      </w:r>
      <w:r>
        <w:rPr>
          <w:rFonts w:hint="default" w:ascii="宋体" w:hAnsi="宋体" w:eastAsia="宋体" w:cs="宋体"/>
          <w:i w:val="0"/>
          <w:iCs w:val="0"/>
          <w:caps w:val="0"/>
          <w:color w:val="333333"/>
          <w:spacing w:val="0"/>
          <w:sz w:val="21"/>
          <w:szCs w:val="21"/>
        </w:rPr>
        <w:t>I</w:t>
      </w:r>
      <w:r>
        <w:rPr>
          <w:rFonts w:hint="eastAsia" w:ascii="宋体" w:hAnsi="宋体" w:eastAsia="宋体" w:cs="宋体"/>
          <w:i w:val="0"/>
          <w:iCs w:val="0"/>
          <w:caps w:val="0"/>
          <w:color w:val="333333"/>
          <w:spacing w:val="0"/>
          <w:sz w:val="21"/>
          <w:szCs w:val="21"/>
        </w:rPr>
        <w:t>型糖尿病、儿童孤独症、儿童生长激素缺乏症</w:t>
      </w:r>
      <w:r>
        <w:rPr>
          <w:rFonts w:hint="eastAsia" w:ascii="宋体" w:hAnsi="宋体" w:eastAsia="宋体" w:cs="宋体"/>
          <w:i w:val="0"/>
          <w:iCs w:val="0"/>
          <w:caps w:val="0"/>
          <w:color w:val="333333"/>
          <w:spacing w:val="0"/>
          <w:sz w:val="21"/>
          <w:szCs w:val="21"/>
          <w:lang w:eastAsia="zh-CN"/>
        </w:rPr>
        <w:t>。</w:t>
      </w:r>
    </w:p>
    <w:p w14:paraId="33C51816">
      <w:pPr>
        <w:pStyle w:val="3"/>
        <w:keepNext w:val="0"/>
        <w:keepLines w:val="0"/>
        <w:widowControl/>
        <w:suppressLineNumbers w:val="0"/>
        <w:spacing w:before="0" w:beforeAutospacing="0" w:after="150" w:afterAutospacing="0"/>
        <w:ind w:left="0" w:right="0"/>
        <w:rPr>
          <w:rFonts w:hint="eastAsia" w:ascii="宋体" w:hAnsi="宋体" w:eastAsia="宋体" w:cs="宋体"/>
          <w:i w:val="0"/>
          <w:iCs w:val="0"/>
          <w:caps w:val="0"/>
          <w:color w:val="333333"/>
          <w:spacing w:val="0"/>
          <w:sz w:val="21"/>
          <w:szCs w:val="21"/>
        </w:rPr>
      </w:pPr>
    </w:p>
    <w:p w14:paraId="3E7115E7">
      <w:pPr>
        <w:pStyle w:val="3"/>
        <w:keepNext w:val="0"/>
        <w:keepLines w:val="0"/>
        <w:widowControl/>
        <w:suppressLineNumbers w:val="0"/>
        <w:spacing w:before="0" w:beforeAutospacing="0" w:after="150" w:afterAutospacing="0"/>
        <w:ind w:left="0" w:right="0"/>
        <w:rPr>
          <w:rFonts w:hint="eastAsia" w:ascii="宋体" w:hAnsi="宋体" w:eastAsia="宋体" w:cs="宋体"/>
          <w:i w:val="0"/>
          <w:iCs w:val="0"/>
          <w:caps w:val="0"/>
          <w:color w:val="333333"/>
          <w:spacing w:val="0"/>
          <w:sz w:val="21"/>
          <w:szCs w:val="21"/>
        </w:rPr>
      </w:pPr>
    </w:p>
    <w:p w14:paraId="36F6CAE0">
      <w:pPr>
        <w:pStyle w:val="3"/>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rPr>
        <w:t>四、居民医疗保险住院医疗待遇</w:t>
      </w:r>
    </w:p>
    <w:tbl>
      <w:tblPr>
        <w:tblStyle w:val="4"/>
        <w:tblW w:w="8565" w:type="dxa"/>
        <w:tblInd w:w="0" w:type="dxa"/>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755"/>
        <w:gridCol w:w="1875"/>
        <w:gridCol w:w="2145"/>
        <w:gridCol w:w="2790"/>
      </w:tblGrid>
      <w:tr w14:paraId="03CE1045">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CellMar>
            <w:top w:w="0" w:type="dxa"/>
            <w:left w:w="0" w:type="dxa"/>
            <w:bottom w:w="0" w:type="dxa"/>
            <w:right w:w="0" w:type="dxa"/>
          </w:tblCellMar>
        </w:tblPrEx>
        <w:trPr>
          <w:trHeight w:val="315" w:hRule="atLeast"/>
        </w:trPr>
        <w:tc>
          <w:tcPr>
            <w:tcW w:w="1755" w:type="dxa"/>
            <w:vMerge w:val="restart"/>
            <w:tcBorders>
              <w:top w:val="single" w:color="CCCCCC" w:sz="6" w:space="0"/>
              <w:left w:val="single" w:color="CCCCCC" w:sz="6" w:space="0"/>
              <w:bottom w:val="single" w:color="CCCCCC" w:sz="6" w:space="0"/>
              <w:right w:val="single" w:color="CCCCCC" w:sz="6" w:space="0"/>
            </w:tcBorders>
            <w:shd w:val="clear" w:color="auto" w:fill="FFFFFF"/>
            <w:vAlign w:val="center"/>
          </w:tcPr>
          <w:p w14:paraId="01DBA94D">
            <w:pPr>
              <w:keepNext w:val="0"/>
              <w:keepLines w:val="0"/>
              <w:widowControl/>
              <w:suppressLineNumbers w:val="0"/>
              <w:jc w:val="center"/>
              <w:rPr>
                <w:rFonts w:hint="eastAsia" w:ascii="宋体" w:hAnsi="宋体" w:eastAsia="宋体" w:cs="宋体"/>
                <w:i w:val="0"/>
                <w:iCs w:val="0"/>
                <w:caps w:val="0"/>
                <w:color w:val="333333"/>
                <w:spacing w:val="0"/>
                <w:kern w:val="0"/>
                <w:sz w:val="21"/>
                <w:szCs w:val="21"/>
                <w:lang w:val="en-US" w:eastAsia="zh-CN" w:bidi="ar"/>
              </w:rPr>
            </w:pPr>
            <w:bookmarkStart w:id="0" w:name="_GoBack"/>
            <w:r>
              <w:rPr>
                <w:rFonts w:hint="default" w:ascii="宋体" w:hAnsi="宋体" w:eastAsia="宋体" w:cs="宋体"/>
                <w:i w:val="0"/>
                <w:iCs w:val="0"/>
                <w:caps w:val="0"/>
                <w:color w:val="333333"/>
                <w:spacing w:val="0"/>
                <w:kern w:val="0"/>
                <w:sz w:val="21"/>
                <w:szCs w:val="21"/>
                <w:lang w:val="en-US" w:eastAsia="zh-CN" w:bidi="ar"/>
              </w:rPr>
              <w:t>医疗机构</w:t>
            </w:r>
          </w:p>
        </w:tc>
        <w:tc>
          <w:tcPr>
            <w:tcW w:w="1875"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02946BD6">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起付线</w:t>
            </w:r>
          </w:p>
        </w:tc>
        <w:tc>
          <w:tcPr>
            <w:tcW w:w="2145" w:type="dxa"/>
            <w:vMerge w:val="restart"/>
            <w:tcBorders>
              <w:top w:val="single" w:color="CCCCCC" w:sz="6" w:space="0"/>
              <w:left w:val="single" w:color="CCCCCC" w:sz="6" w:space="0"/>
              <w:bottom w:val="single" w:color="CCCCCC" w:sz="6" w:space="0"/>
              <w:right w:val="single" w:color="CCCCCC" w:sz="6" w:space="0"/>
            </w:tcBorders>
            <w:shd w:val="clear" w:color="auto" w:fill="FFFFFF"/>
            <w:vAlign w:val="center"/>
          </w:tcPr>
          <w:p w14:paraId="4F83E2CA">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补偿比例</w:t>
            </w:r>
          </w:p>
        </w:tc>
        <w:tc>
          <w:tcPr>
            <w:tcW w:w="2790" w:type="dxa"/>
            <w:vMerge w:val="restart"/>
            <w:tcBorders>
              <w:top w:val="single" w:color="CCCCCC" w:sz="6" w:space="0"/>
              <w:left w:val="single" w:color="CCCCCC" w:sz="6" w:space="0"/>
              <w:bottom w:val="single" w:color="CCCCCC" w:sz="6" w:space="0"/>
              <w:right w:val="single" w:color="CCCCCC" w:sz="6" w:space="0"/>
            </w:tcBorders>
            <w:shd w:val="clear" w:color="auto" w:fill="FFFFFF"/>
            <w:vAlign w:val="center"/>
          </w:tcPr>
          <w:p w14:paraId="2026998F">
            <w:pPr>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封顶线</w:t>
            </w:r>
          </w:p>
        </w:tc>
      </w:tr>
      <w:tr w14:paraId="31C22A14">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0" w:type="dxa"/>
            <w:left w:w="0" w:type="dxa"/>
            <w:bottom w:w="0" w:type="dxa"/>
            <w:right w:w="0" w:type="dxa"/>
          </w:tblCellMar>
        </w:tblPrEx>
        <w:trPr>
          <w:trHeight w:val="285" w:hRule="atLeast"/>
        </w:trPr>
        <w:tc>
          <w:tcPr>
            <w:tcW w:w="1755" w:type="dxa"/>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50222C06">
            <w:pPr>
              <w:jc w:val="center"/>
              <w:rPr>
                <w:rFonts w:hint="default" w:ascii="宋体" w:hAnsi="宋体" w:eastAsia="宋体" w:cs="宋体"/>
                <w:i w:val="0"/>
                <w:iCs w:val="0"/>
                <w:caps w:val="0"/>
                <w:color w:val="333333"/>
                <w:spacing w:val="0"/>
                <w:kern w:val="0"/>
                <w:sz w:val="21"/>
                <w:szCs w:val="21"/>
                <w:lang w:val="en-US" w:eastAsia="zh-CN" w:bidi="ar"/>
              </w:rPr>
            </w:pPr>
          </w:p>
        </w:tc>
        <w:tc>
          <w:tcPr>
            <w:tcW w:w="1875"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70367432">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（元/次）</w:t>
            </w:r>
          </w:p>
        </w:tc>
        <w:tc>
          <w:tcPr>
            <w:tcW w:w="2145" w:type="dxa"/>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3A973A36">
            <w:pPr>
              <w:jc w:val="center"/>
              <w:rPr>
                <w:rFonts w:hint="default" w:ascii="宋体" w:hAnsi="宋体" w:eastAsia="宋体" w:cs="宋体"/>
                <w:i w:val="0"/>
                <w:iCs w:val="0"/>
                <w:caps w:val="0"/>
                <w:color w:val="333333"/>
                <w:spacing w:val="0"/>
                <w:kern w:val="0"/>
                <w:sz w:val="21"/>
                <w:szCs w:val="21"/>
                <w:lang w:val="en-US" w:eastAsia="zh-CN" w:bidi="ar"/>
              </w:rPr>
            </w:pPr>
          </w:p>
        </w:tc>
        <w:tc>
          <w:tcPr>
            <w:tcW w:w="2790" w:type="dxa"/>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0A1FABD5">
            <w:pPr>
              <w:jc w:val="center"/>
              <w:rPr>
                <w:rFonts w:hint="default" w:ascii="宋体" w:hAnsi="宋体" w:eastAsia="宋体" w:cs="宋体"/>
                <w:i w:val="0"/>
                <w:iCs w:val="0"/>
                <w:caps w:val="0"/>
                <w:color w:val="333333"/>
                <w:spacing w:val="0"/>
                <w:kern w:val="0"/>
                <w:sz w:val="21"/>
                <w:szCs w:val="21"/>
                <w:lang w:val="en-US" w:eastAsia="zh-CN" w:bidi="ar"/>
              </w:rPr>
            </w:pPr>
          </w:p>
        </w:tc>
      </w:tr>
      <w:tr w14:paraId="34E7AE59">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0" w:type="dxa"/>
            <w:left w:w="0" w:type="dxa"/>
            <w:bottom w:w="0" w:type="dxa"/>
            <w:right w:w="0" w:type="dxa"/>
          </w:tblCellMar>
        </w:tblPrEx>
        <w:trPr>
          <w:trHeight w:val="540" w:hRule="atLeast"/>
        </w:trPr>
        <w:tc>
          <w:tcPr>
            <w:tcW w:w="1755"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6BF96045">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镇（街道、区）</w:t>
            </w:r>
          </w:p>
        </w:tc>
        <w:tc>
          <w:tcPr>
            <w:tcW w:w="1875"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39A3560D">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200</w:t>
            </w:r>
          </w:p>
        </w:tc>
        <w:tc>
          <w:tcPr>
            <w:tcW w:w="2145"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5FDED607">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90%</w:t>
            </w:r>
          </w:p>
        </w:tc>
        <w:tc>
          <w:tcPr>
            <w:tcW w:w="2790" w:type="dxa"/>
            <w:vMerge w:val="restart"/>
            <w:tcBorders>
              <w:top w:val="single" w:color="CCCCCC" w:sz="6" w:space="0"/>
              <w:left w:val="single" w:color="CCCCCC" w:sz="6" w:space="0"/>
              <w:bottom w:val="single" w:color="CCCCCC" w:sz="6" w:space="0"/>
              <w:right w:val="single" w:color="CCCCCC" w:sz="6" w:space="0"/>
            </w:tcBorders>
            <w:shd w:val="clear" w:color="auto" w:fill="FFFFFF"/>
            <w:vAlign w:val="center"/>
          </w:tcPr>
          <w:p w14:paraId="79D995FE">
            <w:pPr>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年度城乡居民医保基金累计最高支付限额为全市上年度居民人均可支配收入8倍。</w:t>
            </w:r>
          </w:p>
        </w:tc>
      </w:tr>
      <w:tr w14:paraId="3E904FA9">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CellMar>
            <w:top w:w="0" w:type="dxa"/>
            <w:left w:w="0" w:type="dxa"/>
            <w:bottom w:w="0" w:type="dxa"/>
            <w:right w:w="0" w:type="dxa"/>
          </w:tblCellMar>
        </w:tblPrEx>
        <w:trPr>
          <w:trHeight w:val="390" w:hRule="atLeast"/>
        </w:trPr>
        <w:tc>
          <w:tcPr>
            <w:tcW w:w="1755"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2EEE0FC4">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一级</w:t>
            </w:r>
          </w:p>
        </w:tc>
        <w:tc>
          <w:tcPr>
            <w:tcW w:w="1875"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357244A6">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500</w:t>
            </w:r>
          </w:p>
        </w:tc>
        <w:tc>
          <w:tcPr>
            <w:tcW w:w="2145"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40462A75">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80%</w:t>
            </w:r>
          </w:p>
        </w:tc>
        <w:tc>
          <w:tcPr>
            <w:tcW w:w="2790" w:type="dxa"/>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63AF35AE">
            <w:pPr>
              <w:jc w:val="center"/>
              <w:rPr>
                <w:rFonts w:hint="default" w:ascii="Helvetica" w:hAnsi="Helvetica" w:eastAsia="Helvetica" w:cs="Helvetica"/>
                <w:i w:val="0"/>
                <w:iCs w:val="0"/>
                <w:caps w:val="0"/>
                <w:color w:val="000000"/>
                <w:spacing w:val="0"/>
                <w:sz w:val="27"/>
                <w:szCs w:val="27"/>
              </w:rPr>
            </w:pPr>
          </w:p>
        </w:tc>
      </w:tr>
      <w:tr w14:paraId="44ADC2E4">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0" w:type="dxa"/>
            <w:left w:w="0" w:type="dxa"/>
            <w:bottom w:w="0" w:type="dxa"/>
            <w:right w:w="0" w:type="dxa"/>
          </w:tblCellMar>
        </w:tblPrEx>
        <w:trPr>
          <w:trHeight w:val="690" w:hRule="atLeast"/>
        </w:trPr>
        <w:tc>
          <w:tcPr>
            <w:tcW w:w="1755"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55229340">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二级或参保地</w:t>
            </w:r>
            <w:r>
              <w:rPr>
                <w:rFonts w:hint="default" w:ascii="宋体" w:hAnsi="宋体" w:eastAsia="宋体" w:cs="宋体"/>
                <w:i w:val="0"/>
                <w:iCs w:val="0"/>
                <w:caps w:val="0"/>
                <w:color w:val="333333"/>
                <w:spacing w:val="0"/>
                <w:kern w:val="0"/>
                <w:sz w:val="21"/>
                <w:szCs w:val="21"/>
                <w:lang w:val="en-US" w:eastAsia="zh-CN" w:bidi="ar"/>
              </w:rPr>
              <w:br w:type="textWrapping"/>
            </w:r>
            <w:r>
              <w:rPr>
                <w:rFonts w:hint="default" w:ascii="宋体" w:hAnsi="宋体" w:eastAsia="宋体" w:cs="宋体"/>
                <w:i w:val="0"/>
                <w:iCs w:val="0"/>
                <w:caps w:val="0"/>
                <w:color w:val="333333"/>
                <w:spacing w:val="0"/>
                <w:kern w:val="0"/>
                <w:sz w:val="21"/>
                <w:szCs w:val="21"/>
                <w:lang w:val="en-US" w:eastAsia="zh-CN" w:bidi="ar"/>
              </w:rPr>
              <w:t>三级县级</w:t>
            </w:r>
          </w:p>
        </w:tc>
        <w:tc>
          <w:tcPr>
            <w:tcW w:w="1875"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7D3EAD5A">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700</w:t>
            </w:r>
          </w:p>
        </w:tc>
        <w:tc>
          <w:tcPr>
            <w:tcW w:w="2145"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724F67FF">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70%</w:t>
            </w:r>
          </w:p>
        </w:tc>
        <w:tc>
          <w:tcPr>
            <w:tcW w:w="2790" w:type="dxa"/>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464DA0E8">
            <w:pPr>
              <w:rPr>
                <w:rFonts w:hint="default" w:ascii="Helvetica" w:hAnsi="Helvetica" w:eastAsia="Helvetica" w:cs="Helvetica"/>
                <w:i w:val="0"/>
                <w:iCs w:val="0"/>
                <w:caps w:val="0"/>
                <w:color w:val="000000"/>
                <w:spacing w:val="0"/>
                <w:sz w:val="27"/>
                <w:szCs w:val="27"/>
              </w:rPr>
            </w:pPr>
          </w:p>
        </w:tc>
      </w:tr>
      <w:tr w14:paraId="0557C37B">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20" w:hRule="atLeast"/>
        </w:trPr>
        <w:tc>
          <w:tcPr>
            <w:tcW w:w="1755"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644F6285">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市三级</w:t>
            </w:r>
          </w:p>
        </w:tc>
        <w:tc>
          <w:tcPr>
            <w:tcW w:w="1875"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2C2E3D52">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1000</w:t>
            </w:r>
          </w:p>
        </w:tc>
        <w:tc>
          <w:tcPr>
            <w:tcW w:w="2145"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11CEBD29">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55%</w:t>
            </w:r>
          </w:p>
        </w:tc>
        <w:tc>
          <w:tcPr>
            <w:tcW w:w="2790" w:type="dxa"/>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20ACA406">
            <w:pPr>
              <w:rPr>
                <w:rFonts w:hint="default" w:ascii="Helvetica" w:hAnsi="Helvetica" w:eastAsia="Helvetica" w:cs="Helvetica"/>
                <w:i w:val="0"/>
                <w:iCs w:val="0"/>
                <w:caps w:val="0"/>
                <w:color w:val="000000"/>
                <w:spacing w:val="0"/>
                <w:sz w:val="27"/>
                <w:szCs w:val="27"/>
              </w:rPr>
            </w:pPr>
          </w:p>
        </w:tc>
      </w:tr>
      <w:tr w14:paraId="778E354D">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CellMar>
            <w:top w:w="0" w:type="dxa"/>
            <w:left w:w="0" w:type="dxa"/>
            <w:bottom w:w="0" w:type="dxa"/>
            <w:right w:w="0" w:type="dxa"/>
          </w:tblCellMar>
        </w:tblPrEx>
        <w:trPr>
          <w:trHeight w:val="375" w:hRule="atLeast"/>
        </w:trPr>
        <w:tc>
          <w:tcPr>
            <w:tcW w:w="1755" w:type="dxa"/>
            <w:vMerge w:val="restart"/>
            <w:tcBorders>
              <w:top w:val="single" w:color="CCCCCC" w:sz="6" w:space="0"/>
              <w:left w:val="single" w:color="CCCCCC" w:sz="6" w:space="0"/>
              <w:bottom w:val="single" w:color="CCCCCC" w:sz="6" w:space="0"/>
              <w:right w:val="single" w:color="CCCCCC" w:sz="6" w:space="0"/>
            </w:tcBorders>
            <w:shd w:val="clear" w:color="auto" w:fill="FFFFFF"/>
            <w:vAlign w:val="center"/>
          </w:tcPr>
          <w:p w14:paraId="48311E0C">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转市外</w:t>
            </w:r>
          </w:p>
        </w:tc>
        <w:tc>
          <w:tcPr>
            <w:tcW w:w="1875" w:type="dxa"/>
            <w:vMerge w:val="restart"/>
            <w:tcBorders>
              <w:top w:val="single" w:color="CCCCCC" w:sz="6" w:space="0"/>
              <w:left w:val="single" w:color="CCCCCC" w:sz="6" w:space="0"/>
              <w:bottom w:val="single" w:color="CCCCCC" w:sz="6" w:space="0"/>
              <w:right w:val="single" w:color="CCCCCC" w:sz="6" w:space="0"/>
            </w:tcBorders>
            <w:shd w:val="clear" w:color="auto" w:fill="FFFFFF"/>
            <w:vAlign w:val="center"/>
          </w:tcPr>
          <w:p w14:paraId="71B1A765">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1200</w:t>
            </w:r>
          </w:p>
        </w:tc>
        <w:tc>
          <w:tcPr>
            <w:tcW w:w="2145"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04F833BF">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市转50%</w:t>
            </w:r>
          </w:p>
        </w:tc>
        <w:tc>
          <w:tcPr>
            <w:tcW w:w="2790" w:type="dxa"/>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68ED32B9">
            <w:pPr>
              <w:rPr>
                <w:rFonts w:hint="default" w:ascii="Helvetica" w:hAnsi="Helvetica" w:eastAsia="Helvetica" w:cs="Helvetica"/>
                <w:i w:val="0"/>
                <w:iCs w:val="0"/>
                <w:caps w:val="0"/>
                <w:color w:val="000000"/>
                <w:spacing w:val="0"/>
                <w:sz w:val="27"/>
                <w:szCs w:val="27"/>
              </w:rPr>
            </w:pPr>
          </w:p>
        </w:tc>
      </w:tr>
      <w:tr w14:paraId="6D6CB893">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CellMar>
            <w:top w:w="0" w:type="dxa"/>
            <w:left w:w="0" w:type="dxa"/>
            <w:bottom w:w="0" w:type="dxa"/>
            <w:right w:w="0" w:type="dxa"/>
          </w:tblCellMar>
        </w:tblPrEx>
        <w:trPr>
          <w:trHeight w:val="420" w:hRule="atLeast"/>
        </w:trPr>
        <w:tc>
          <w:tcPr>
            <w:tcW w:w="1755" w:type="dxa"/>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7D297CD8">
            <w:pPr>
              <w:jc w:val="center"/>
              <w:rPr>
                <w:rFonts w:hint="default" w:ascii="宋体" w:hAnsi="宋体" w:eastAsia="宋体" w:cs="宋体"/>
                <w:i w:val="0"/>
                <w:iCs w:val="0"/>
                <w:caps w:val="0"/>
                <w:color w:val="333333"/>
                <w:spacing w:val="0"/>
                <w:kern w:val="0"/>
                <w:sz w:val="21"/>
                <w:szCs w:val="21"/>
                <w:lang w:val="en-US" w:eastAsia="zh-CN" w:bidi="ar"/>
              </w:rPr>
            </w:pPr>
          </w:p>
        </w:tc>
        <w:tc>
          <w:tcPr>
            <w:tcW w:w="1875" w:type="dxa"/>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0F4CFA3D">
            <w:pPr>
              <w:jc w:val="center"/>
              <w:rPr>
                <w:rFonts w:hint="default" w:ascii="宋体" w:hAnsi="宋体" w:eastAsia="宋体" w:cs="宋体"/>
                <w:i w:val="0"/>
                <w:iCs w:val="0"/>
                <w:caps w:val="0"/>
                <w:color w:val="333333"/>
                <w:spacing w:val="0"/>
                <w:kern w:val="0"/>
                <w:sz w:val="21"/>
                <w:szCs w:val="21"/>
                <w:lang w:val="en-US" w:eastAsia="zh-CN" w:bidi="ar"/>
              </w:rPr>
            </w:pPr>
          </w:p>
        </w:tc>
        <w:tc>
          <w:tcPr>
            <w:tcW w:w="2145"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0BE24BBE">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县转45%</w:t>
            </w:r>
          </w:p>
        </w:tc>
        <w:tc>
          <w:tcPr>
            <w:tcW w:w="2790" w:type="dxa"/>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05CEA55F">
            <w:pPr>
              <w:rPr>
                <w:rFonts w:hint="default" w:ascii="Helvetica" w:hAnsi="Helvetica" w:eastAsia="Helvetica" w:cs="Helvetica"/>
                <w:i w:val="0"/>
                <w:iCs w:val="0"/>
                <w:caps w:val="0"/>
                <w:color w:val="000000"/>
                <w:spacing w:val="0"/>
                <w:sz w:val="27"/>
                <w:szCs w:val="27"/>
              </w:rPr>
            </w:pPr>
          </w:p>
        </w:tc>
      </w:tr>
      <w:tr w14:paraId="377BA40C">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CellMar>
            <w:top w:w="0" w:type="dxa"/>
            <w:left w:w="0" w:type="dxa"/>
            <w:bottom w:w="0" w:type="dxa"/>
            <w:right w:w="0" w:type="dxa"/>
          </w:tblCellMar>
        </w:tblPrEx>
        <w:trPr>
          <w:trHeight w:val="690" w:hRule="atLeast"/>
        </w:trPr>
        <w:tc>
          <w:tcPr>
            <w:tcW w:w="1755" w:type="dxa"/>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2E66E88E">
            <w:pPr>
              <w:jc w:val="center"/>
              <w:rPr>
                <w:rFonts w:hint="default" w:ascii="宋体" w:hAnsi="宋体" w:eastAsia="宋体" w:cs="宋体"/>
                <w:i w:val="0"/>
                <w:iCs w:val="0"/>
                <w:caps w:val="0"/>
                <w:color w:val="333333"/>
                <w:spacing w:val="0"/>
                <w:kern w:val="0"/>
                <w:sz w:val="21"/>
                <w:szCs w:val="21"/>
                <w:lang w:val="en-US" w:eastAsia="zh-CN" w:bidi="ar"/>
              </w:rPr>
            </w:pPr>
          </w:p>
        </w:tc>
        <w:tc>
          <w:tcPr>
            <w:tcW w:w="1875" w:type="dxa"/>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2D4C66FB">
            <w:pPr>
              <w:jc w:val="center"/>
              <w:rPr>
                <w:rFonts w:hint="default" w:ascii="宋体" w:hAnsi="宋体" w:eastAsia="宋体" w:cs="宋体"/>
                <w:i w:val="0"/>
                <w:iCs w:val="0"/>
                <w:caps w:val="0"/>
                <w:color w:val="333333"/>
                <w:spacing w:val="0"/>
                <w:kern w:val="0"/>
                <w:sz w:val="21"/>
                <w:szCs w:val="21"/>
                <w:lang w:val="en-US" w:eastAsia="zh-CN" w:bidi="ar"/>
              </w:rPr>
            </w:pPr>
          </w:p>
        </w:tc>
        <w:tc>
          <w:tcPr>
            <w:tcW w:w="2145"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1FC3F533">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未转诊但办理异地就医网上自主备案35%</w:t>
            </w:r>
          </w:p>
        </w:tc>
        <w:tc>
          <w:tcPr>
            <w:tcW w:w="2790" w:type="dxa"/>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1029EF18">
            <w:pPr>
              <w:rPr>
                <w:rFonts w:hint="default" w:ascii="Helvetica" w:hAnsi="Helvetica" w:eastAsia="Helvetica" w:cs="Helvetica"/>
                <w:i w:val="0"/>
                <w:iCs w:val="0"/>
                <w:caps w:val="0"/>
                <w:color w:val="000000"/>
                <w:spacing w:val="0"/>
                <w:sz w:val="27"/>
                <w:szCs w:val="27"/>
              </w:rPr>
            </w:pPr>
          </w:p>
        </w:tc>
      </w:tr>
      <w:tr w14:paraId="34FB34B2">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20" w:hRule="atLeast"/>
        </w:trPr>
        <w:tc>
          <w:tcPr>
            <w:tcW w:w="1755" w:type="dxa"/>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1128733B">
            <w:pPr>
              <w:jc w:val="center"/>
              <w:rPr>
                <w:rFonts w:hint="default" w:ascii="宋体" w:hAnsi="宋体" w:eastAsia="宋体" w:cs="宋体"/>
                <w:i w:val="0"/>
                <w:iCs w:val="0"/>
                <w:caps w:val="0"/>
                <w:color w:val="333333"/>
                <w:spacing w:val="0"/>
                <w:kern w:val="0"/>
                <w:sz w:val="21"/>
                <w:szCs w:val="21"/>
                <w:lang w:val="en-US" w:eastAsia="zh-CN" w:bidi="ar"/>
              </w:rPr>
            </w:pPr>
          </w:p>
        </w:tc>
        <w:tc>
          <w:tcPr>
            <w:tcW w:w="1875" w:type="dxa"/>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7784AA8E">
            <w:pPr>
              <w:jc w:val="center"/>
              <w:rPr>
                <w:rFonts w:hint="default" w:ascii="宋体" w:hAnsi="宋体" w:eastAsia="宋体" w:cs="宋体"/>
                <w:i w:val="0"/>
                <w:iCs w:val="0"/>
                <w:caps w:val="0"/>
                <w:color w:val="333333"/>
                <w:spacing w:val="0"/>
                <w:kern w:val="0"/>
                <w:sz w:val="21"/>
                <w:szCs w:val="21"/>
                <w:lang w:val="en-US" w:eastAsia="zh-CN" w:bidi="ar"/>
              </w:rPr>
            </w:pPr>
          </w:p>
        </w:tc>
        <w:tc>
          <w:tcPr>
            <w:tcW w:w="2145"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5F758877">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未转诊35%</w:t>
            </w:r>
          </w:p>
        </w:tc>
        <w:tc>
          <w:tcPr>
            <w:tcW w:w="2790" w:type="dxa"/>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1B65494A">
            <w:pPr>
              <w:rPr>
                <w:rFonts w:hint="default" w:ascii="Helvetica" w:hAnsi="Helvetica" w:eastAsia="Helvetica" w:cs="Helvetica"/>
                <w:i w:val="0"/>
                <w:iCs w:val="0"/>
                <w:caps w:val="0"/>
                <w:color w:val="000000"/>
                <w:spacing w:val="0"/>
                <w:sz w:val="27"/>
                <w:szCs w:val="27"/>
              </w:rPr>
            </w:pPr>
          </w:p>
        </w:tc>
      </w:tr>
      <w:bookmarkEnd w:id="0"/>
    </w:tbl>
    <w:p w14:paraId="4262925D">
      <w:pPr>
        <w:pStyle w:val="3"/>
        <w:keepNext w:val="0"/>
        <w:keepLines w:val="0"/>
        <w:widowControl/>
        <w:suppressLineNumbers w:val="0"/>
        <w:spacing w:before="0" w:beforeAutospacing="0" w:after="150" w:afterAutospacing="0"/>
        <w:ind w:left="0" w:right="0"/>
      </w:pPr>
    </w:p>
    <w:p w14:paraId="5D8B4E12">
      <w:pPr>
        <w:pStyle w:val="3"/>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rPr>
        <w:t>五、大病保险待遇：</w:t>
      </w:r>
    </w:p>
    <w:p w14:paraId="6A021042">
      <w:pPr>
        <w:pStyle w:val="3"/>
        <w:keepNext w:val="0"/>
        <w:keepLines w:val="0"/>
        <w:widowControl/>
        <w:suppressLineNumbers w:val="0"/>
        <w:spacing w:before="0" w:beforeAutospacing="0" w:after="150" w:afterAutospacing="0"/>
        <w:ind w:left="0" w:right="0" w:firstLine="420" w:firstLineChars="200"/>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参保人员年度内在定点医疗机构住院和特殊病种门诊发生的医疗费用，经基本医疗保险按规定支付后，个人负担的合规医疗费用超过大病保险起付标准的部分，由大病保险按规定予以支付。大病保险实行自然年度内分段按比例报销。起付标准为1.6万元（困难人员</w:t>
      </w:r>
      <w:r>
        <w:rPr>
          <w:rFonts w:hint="default" w:ascii="宋体" w:hAnsi="宋体" w:eastAsia="宋体" w:cs="宋体"/>
          <w:i w:val="0"/>
          <w:iCs w:val="0"/>
          <w:caps w:val="0"/>
          <w:color w:val="333333"/>
          <w:spacing w:val="0"/>
          <w:sz w:val="21"/>
          <w:szCs w:val="21"/>
        </w:rPr>
        <w:t>0.8</w:t>
      </w:r>
      <w:r>
        <w:rPr>
          <w:rFonts w:hint="eastAsia" w:ascii="宋体" w:hAnsi="宋体" w:eastAsia="宋体" w:cs="宋体"/>
          <w:i w:val="0"/>
          <w:iCs w:val="0"/>
          <w:caps w:val="0"/>
          <w:color w:val="333333"/>
          <w:spacing w:val="0"/>
          <w:sz w:val="21"/>
          <w:szCs w:val="21"/>
        </w:rPr>
        <w:t>万元），起付标准至</w:t>
      </w:r>
      <w:r>
        <w:rPr>
          <w:rFonts w:hint="default" w:ascii="宋体" w:hAnsi="宋体" w:eastAsia="宋体" w:cs="宋体"/>
          <w:i w:val="0"/>
          <w:iCs w:val="0"/>
          <w:caps w:val="0"/>
          <w:color w:val="333333"/>
          <w:spacing w:val="0"/>
          <w:sz w:val="21"/>
          <w:szCs w:val="21"/>
        </w:rPr>
        <w:t>20</w:t>
      </w:r>
      <w:r>
        <w:rPr>
          <w:rFonts w:hint="eastAsia" w:ascii="宋体" w:hAnsi="宋体" w:eastAsia="宋体" w:cs="宋体"/>
          <w:i w:val="0"/>
          <w:iCs w:val="0"/>
          <w:caps w:val="0"/>
          <w:color w:val="333333"/>
          <w:spacing w:val="0"/>
          <w:sz w:val="21"/>
          <w:szCs w:val="21"/>
        </w:rPr>
        <w:t>万元（含），报销</w:t>
      </w:r>
      <w:r>
        <w:rPr>
          <w:rFonts w:hint="default" w:ascii="宋体" w:hAnsi="宋体" w:eastAsia="宋体" w:cs="宋体"/>
          <w:i w:val="0"/>
          <w:iCs w:val="0"/>
          <w:caps w:val="0"/>
          <w:color w:val="333333"/>
          <w:spacing w:val="0"/>
          <w:sz w:val="21"/>
          <w:szCs w:val="21"/>
        </w:rPr>
        <w:t>60%</w:t>
      </w:r>
      <w:r>
        <w:rPr>
          <w:rFonts w:hint="eastAsia" w:ascii="宋体" w:hAnsi="宋体" w:eastAsia="宋体" w:cs="宋体"/>
          <w:i w:val="0"/>
          <w:iCs w:val="0"/>
          <w:caps w:val="0"/>
          <w:color w:val="333333"/>
          <w:spacing w:val="0"/>
          <w:sz w:val="21"/>
          <w:szCs w:val="21"/>
        </w:rPr>
        <w:t>；</w:t>
      </w:r>
      <w:r>
        <w:rPr>
          <w:rFonts w:hint="default" w:ascii="宋体" w:hAnsi="宋体" w:eastAsia="宋体" w:cs="宋体"/>
          <w:i w:val="0"/>
          <w:iCs w:val="0"/>
          <w:caps w:val="0"/>
          <w:color w:val="333333"/>
          <w:spacing w:val="0"/>
          <w:sz w:val="21"/>
          <w:szCs w:val="21"/>
        </w:rPr>
        <w:t>20</w:t>
      </w:r>
      <w:r>
        <w:rPr>
          <w:rFonts w:hint="eastAsia" w:ascii="宋体" w:hAnsi="宋体" w:eastAsia="宋体" w:cs="宋体"/>
          <w:i w:val="0"/>
          <w:iCs w:val="0"/>
          <w:caps w:val="0"/>
          <w:color w:val="333333"/>
          <w:spacing w:val="0"/>
          <w:sz w:val="21"/>
          <w:szCs w:val="21"/>
        </w:rPr>
        <w:t>万元以上至</w:t>
      </w:r>
      <w:r>
        <w:rPr>
          <w:rFonts w:hint="default" w:ascii="宋体" w:hAnsi="宋体" w:eastAsia="宋体" w:cs="宋体"/>
          <w:i w:val="0"/>
          <w:iCs w:val="0"/>
          <w:caps w:val="0"/>
          <w:color w:val="333333"/>
          <w:spacing w:val="0"/>
          <w:sz w:val="21"/>
          <w:szCs w:val="21"/>
        </w:rPr>
        <w:t>30</w:t>
      </w:r>
      <w:r>
        <w:rPr>
          <w:rFonts w:hint="eastAsia" w:ascii="宋体" w:hAnsi="宋体" w:eastAsia="宋体" w:cs="宋体"/>
          <w:i w:val="0"/>
          <w:iCs w:val="0"/>
          <w:caps w:val="0"/>
          <w:color w:val="333333"/>
          <w:spacing w:val="0"/>
          <w:sz w:val="21"/>
          <w:szCs w:val="21"/>
        </w:rPr>
        <w:t>万元（含），报销</w:t>
      </w:r>
      <w:r>
        <w:rPr>
          <w:rFonts w:hint="default" w:ascii="宋体" w:hAnsi="宋体" w:eastAsia="宋体" w:cs="宋体"/>
          <w:i w:val="0"/>
          <w:iCs w:val="0"/>
          <w:caps w:val="0"/>
          <w:color w:val="333333"/>
          <w:spacing w:val="0"/>
          <w:sz w:val="21"/>
          <w:szCs w:val="21"/>
        </w:rPr>
        <w:t>70%</w:t>
      </w:r>
      <w:r>
        <w:rPr>
          <w:rFonts w:hint="eastAsia" w:ascii="宋体" w:hAnsi="宋体" w:eastAsia="宋体" w:cs="宋体"/>
          <w:i w:val="0"/>
          <w:iCs w:val="0"/>
          <w:caps w:val="0"/>
          <w:color w:val="333333"/>
          <w:spacing w:val="0"/>
          <w:sz w:val="21"/>
          <w:szCs w:val="21"/>
        </w:rPr>
        <w:t>；</w:t>
      </w:r>
      <w:r>
        <w:rPr>
          <w:rFonts w:hint="default" w:ascii="宋体" w:hAnsi="宋体" w:eastAsia="宋体" w:cs="宋体"/>
          <w:i w:val="0"/>
          <w:iCs w:val="0"/>
          <w:caps w:val="0"/>
          <w:color w:val="333333"/>
          <w:spacing w:val="0"/>
          <w:sz w:val="21"/>
          <w:szCs w:val="21"/>
        </w:rPr>
        <w:t>30</w:t>
      </w:r>
      <w:r>
        <w:rPr>
          <w:rFonts w:hint="eastAsia" w:ascii="宋体" w:hAnsi="宋体" w:eastAsia="宋体" w:cs="宋体"/>
          <w:i w:val="0"/>
          <w:iCs w:val="0"/>
          <w:caps w:val="0"/>
          <w:color w:val="333333"/>
          <w:spacing w:val="0"/>
          <w:sz w:val="21"/>
          <w:szCs w:val="21"/>
        </w:rPr>
        <w:t>万元以上，报销</w:t>
      </w:r>
      <w:r>
        <w:rPr>
          <w:rFonts w:hint="default" w:ascii="宋体" w:hAnsi="宋体" w:eastAsia="宋体" w:cs="宋体"/>
          <w:i w:val="0"/>
          <w:iCs w:val="0"/>
          <w:caps w:val="0"/>
          <w:color w:val="333333"/>
          <w:spacing w:val="0"/>
          <w:sz w:val="21"/>
          <w:szCs w:val="21"/>
        </w:rPr>
        <w:t>80%</w:t>
      </w:r>
      <w:r>
        <w:rPr>
          <w:rFonts w:hint="eastAsia" w:ascii="宋体" w:hAnsi="宋体" w:eastAsia="宋体" w:cs="宋体"/>
          <w:i w:val="0"/>
          <w:iCs w:val="0"/>
          <w:caps w:val="0"/>
          <w:color w:val="333333"/>
          <w:spacing w:val="0"/>
          <w:sz w:val="21"/>
          <w:szCs w:val="21"/>
        </w:rPr>
        <w:t>。困难人员以上报销比例相对提高</w:t>
      </w:r>
      <w:r>
        <w:rPr>
          <w:rFonts w:hint="default" w:ascii="宋体" w:hAnsi="宋体" w:eastAsia="宋体" w:cs="宋体"/>
          <w:i w:val="0"/>
          <w:iCs w:val="0"/>
          <w:caps w:val="0"/>
          <w:color w:val="333333"/>
          <w:spacing w:val="0"/>
          <w:sz w:val="21"/>
          <w:szCs w:val="21"/>
        </w:rPr>
        <w:t>10</w:t>
      </w:r>
      <w:r>
        <w:rPr>
          <w:rFonts w:hint="eastAsia" w:ascii="宋体" w:hAnsi="宋体" w:eastAsia="宋体" w:cs="宋体"/>
          <w:i w:val="0"/>
          <w:iCs w:val="0"/>
          <w:caps w:val="0"/>
          <w:color w:val="333333"/>
          <w:spacing w:val="0"/>
          <w:sz w:val="21"/>
          <w:szCs w:val="21"/>
        </w:rPr>
        <w:t>个百分点，从2025年</w:t>
      </w:r>
      <w:r>
        <w:rPr>
          <w:rFonts w:hint="default" w:ascii="宋体" w:hAnsi="宋体" w:eastAsia="宋体" w:cs="宋体"/>
          <w:i w:val="0"/>
          <w:iCs w:val="0"/>
          <w:caps w:val="0"/>
          <w:color w:val="333333"/>
          <w:spacing w:val="0"/>
          <w:sz w:val="21"/>
          <w:szCs w:val="21"/>
        </w:rPr>
        <w:t>5</w:t>
      </w:r>
      <w:r>
        <w:rPr>
          <w:rFonts w:hint="eastAsia" w:ascii="宋体" w:hAnsi="宋体" w:eastAsia="宋体" w:cs="宋体"/>
          <w:i w:val="0"/>
          <w:iCs w:val="0"/>
          <w:caps w:val="0"/>
          <w:color w:val="333333"/>
          <w:spacing w:val="0"/>
          <w:sz w:val="21"/>
          <w:szCs w:val="21"/>
        </w:rPr>
        <w:t>月</w:t>
      </w:r>
      <w:r>
        <w:rPr>
          <w:rFonts w:hint="default" w:ascii="宋体" w:hAnsi="宋体" w:eastAsia="宋体" w:cs="宋体"/>
          <w:i w:val="0"/>
          <w:iCs w:val="0"/>
          <w:caps w:val="0"/>
          <w:color w:val="333333"/>
          <w:spacing w:val="0"/>
          <w:sz w:val="21"/>
          <w:szCs w:val="21"/>
        </w:rPr>
        <w:t>1</w:t>
      </w:r>
      <w:r>
        <w:rPr>
          <w:rFonts w:hint="eastAsia" w:ascii="宋体" w:hAnsi="宋体" w:eastAsia="宋体" w:cs="宋体"/>
          <w:i w:val="0"/>
          <w:iCs w:val="0"/>
          <w:caps w:val="0"/>
          <w:color w:val="333333"/>
          <w:spacing w:val="0"/>
          <w:sz w:val="21"/>
          <w:szCs w:val="21"/>
        </w:rPr>
        <w:t>日起，非急诊抢救且未经市内定点医疗机构办理转诊手续的临时外出就医参保人员，市外发生的住院和特殊病种门诊政策范围内医疗费用，按</w:t>
      </w:r>
      <w:r>
        <w:rPr>
          <w:rFonts w:hint="default" w:ascii="宋体" w:hAnsi="宋体" w:eastAsia="宋体" w:cs="宋体"/>
          <w:i w:val="0"/>
          <w:iCs w:val="0"/>
          <w:caps w:val="0"/>
          <w:color w:val="333333"/>
          <w:spacing w:val="0"/>
          <w:sz w:val="21"/>
          <w:szCs w:val="21"/>
        </w:rPr>
        <w:t>50%</w:t>
      </w:r>
      <w:r>
        <w:rPr>
          <w:rFonts w:hint="eastAsia" w:ascii="宋体" w:hAnsi="宋体" w:eastAsia="宋体" w:cs="宋体"/>
          <w:i w:val="0"/>
          <w:iCs w:val="0"/>
          <w:caps w:val="0"/>
          <w:color w:val="333333"/>
          <w:spacing w:val="0"/>
          <w:sz w:val="21"/>
          <w:szCs w:val="21"/>
        </w:rPr>
        <w:t>纳入大病保险报销范围。</w:t>
      </w:r>
    </w:p>
    <w:p w14:paraId="06CFEA9B">
      <w:pPr>
        <w:pStyle w:val="3"/>
        <w:keepNext w:val="0"/>
        <w:keepLines w:val="0"/>
        <w:widowControl/>
        <w:suppressLineNumbers w:val="0"/>
        <w:spacing w:before="0" w:beforeAutospacing="0" w:after="150" w:afterAutospacing="0"/>
        <w:ind w:left="0" w:right="0"/>
      </w:pPr>
      <w:r>
        <w:rPr>
          <w:rFonts w:hint="eastAsia" w:ascii="微软雅黑" w:hAnsi="微软雅黑" w:eastAsia="微软雅黑" w:cs="微软雅黑"/>
          <w:i w:val="0"/>
          <w:iCs w:val="0"/>
          <w:caps w:val="0"/>
          <w:color w:val="333333"/>
          <w:spacing w:val="0"/>
          <w:sz w:val="21"/>
          <w:szCs w:val="21"/>
        </w:rPr>
        <w:t> </w:t>
      </w:r>
    </w:p>
    <w:p w14:paraId="7BE90770">
      <w:pPr>
        <w:pStyle w:val="3"/>
        <w:keepNext w:val="0"/>
        <w:keepLines w:val="0"/>
        <w:widowControl/>
        <w:suppressLineNumbers w:val="0"/>
        <w:spacing w:before="0" w:beforeAutospacing="0" w:after="150" w:afterAutospacing="0"/>
        <w:ind w:left="0" w:right="0" w:firstLine="0"/>
      </w:pPr>
      <w:r>
        <w:rPr>
          <w:rFonts w:hint="eastAsia" w:ascii="微软雅黑" w:hAnsi="微软雅黑" w:eastAsia="微软雅黑" w:cs="微软雅黑"/>
          <w:i w:val="0"/>
          <w:iCs w:val="0"/>
          <w:caps w:val="0"/>
          <w:color w:val="333333"/>
          <w:spacing w:val="0"/>
          <w:sz w:val="21"/>
          <w:szCs w:val="21"/>
        </w:rPr>
        <w:t>六、</w:t>
      </w:r>
      <w:r>
        <w:rPr>
          <w:rFonts w:hint="eastAsia" w:ascii="宋体" w:hAnsi="宋体" w:eastAsia="宋体" w:cs="宋体"/>
          <w:i w:val="0"/>
          <w:iCs w:val="0"/>
          <w:caps w:val="0"/>
          <w:color w:val="333333"/>
          <w:spacing w:val="0"/>
          <w:sz w:val="21"/>
          <w:szCs w:val="21"/>
        </w:rPr>
        <w:t>居民生育医疗</w:t>
      </w:r>
    </w:p>
    <w:tbl>
      <w:tblPr>
        <w:tblStyle w:val="4"/>
        <w:tblW w:w="7095" w:type="dxa"/>
        <w:tblInd w:w="0" w:type="dxa"/>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830"/>
        <w:gridCol w:w="1410"/>
        <w:gridCol w:w="3855"/>
      </w:tblGrid>
      <w:tr w14:paraId="622CD7CA">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CellMar>
            <w:top w:w="0" w:type="dxa"/>
            <w:left w:w="0" w:type="dxa"/>
            <w:bottom w:w="0" w:type="dxa"/>
            <w:right w:w="0" w:type="dxa"/>
          </w:tblCellMar>
        </w:tblPrEx>
        <w:trPr>
          <w:trHeight w:val="495" w:hRule="atLeast"/>
        </w:trPr>
        <w:tc>
          <w:tcPr>
            <w:tcW w:w="1830"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4197385C">
            <w:pPr>
              <w:keepNext w:val="0"/>
              <w:keepLines w:val="0"/>
              <w:widowControl/>
              <w:suppressLineNumbers w:val="0"/>
              <w:jc w:val="center"/>
              <w:rPr>
                <w:rFonts w:hint="eastAsia"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医疗机构</w:t>
            </w:r>
          </w:p>
        </w:tc>
        <w:tc>
          <w:tcPr>
            <w:tcW w:w="1410"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6496B5EF">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补偿限额</w:t>
            </w:r>
          </w:p>
        </w:tc>
        <w:tc>
          <w:tcPr>
            <w:tcW w:w="3855" w:type="dxa"/>
            <w:tcBorders>
              <w:top w:val="single" w:color="CCCCCC" w:sz="6" w:space="0"/>
              <w:left w:val="single" w:color="CCCCCC" w:sz="6" w:space="0"/>
              <w:bottom w:val="single" w:color="CCCCCC" w:sz="6" w:space="0"/>
              <w:right w:val="single" w:color="CCCCCC" w:sz="6" w:space="0"/>
            </w:tcBorders>
            <w:shd w:val="clear" w:color="auto" w:fill="FFFFFF"/>
            <w:vAlign w:val="center"/>
          </w:tcPr>
          <w:p w14:paraId="29565D9E">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备  注</w:t>
            </w:r>
          </w:p>
        </w:tc>
      </w:tr>
      <w:tr w14:paraId="6201F708">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95" w:hRule="atLeast"/>
        </w:trPr>
        <w:tc>
          <w:tcPr>
            <w:tcW w:w="0" w:type="auto"/>
            <w:tcBorders>
              <w:top w:val="single" w:color="CCCCCC" w:sz="6" w:space="0"/>
              <w:left w:val="single" w:color="CCCCCC" w:sz="6" w:space="0"/>
              <w:bottom w:val="single" w:color="CCCCCC" w:sz="6" w:space="0"/>
              <w:right w:val="single" w:color="CCCCCC" w:sz="6" w:space="0"/>
            </w:tcBorders>
            <w:shd w:val="clear" w:color="auto" w:fill="FFFFFF"/>
            <w:vAlign w:val="center"/>
          </w:tcPr>
          <w:p w14:paraId="320A9A62">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三级医疗机构</w:t>
            </w:r>
          </w:p>
        </w:tc>
        <w:tc>
          <w:tcPr>
            <w:tcW w:w="0" w:type="auto"/>
            <w:tcBorders>
              <w:top w:val="single" w:color="CCCCCC" w:sz="6" w:space="0"/>
              <w:left w:val="single" w:color="CCCCCC" w:sz="6" w:space="0"/>
              <w:bottom w:val="single" w:color="CCCCCC" w:sz="6" w:space="0"/>
              <w:right w:val="single" w:color="CCCCCC" w:sz="6" w:space="0"/>
            </w:tcBorders>
            <w:shd w:val="clear" w:color="auto" w:fill="FFFFFF"/>
            <w:vAlign w:val="center"/>
          </w:tcPr>
          <w:p w14:paraId="4A08A60A">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4800元</w:t>
            </w:r>
          </w:p>
        </w:tc>
        <w:tc>
          <w:tcPr>
            <w:tcW w:w="3855" w:type="dxa"/>
            <w:vMerge w:val="restart"/>
            <w:tcBorders>
              <w:top w:val="single" w:color="CCCCCC" w:sz="6" w:space="0"/>
              <w:left w:val="single" w:color="CCCCCC" w:sz="6" w:space="0"/>
              <w:bottom w:val="single" w:color="CCCCCC" w:sz="6" w:space="0"/>
              <w:right w:val="single" w:color="CCCCCC" w:sz="6" w:space="0"/>
            </w:tcBorders>
            <w:shd w:val="clear" w:color="auto" w:fill="FFFFFF"/>
            <w:vAlign w:val="center"/>
          </w:tcPr>
          <w:p w14:paraId="702E5573">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住院分娩费用补偿不设起付标准，在剔除丙类自费费用和乙类自理费用后补偿70%</w:t>
            </w:r>
          </w:p>
        </w:tc>
      </w:tr>
      <w:tr w14:paraId="7A998CE3">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CellMar>
            <w:top w:w="0" w:type="dxa"/>
            <w:left w:w="0" w:type="dxa"/>
            <w:bottom w:w="0" w:type="dxa"/>
            <w:right w:w="0" w:type="dxa"/>
          </w:tblCellMar>
        </w:tblPrEx>
        <w:trPr>
          <w:trHeight w:val="495" w:hRule="atLeast"/>
        </w:trPr>
        <w:tc>
          <w:tcPr>
            <w:tcW w:w="0" w:type="auto"/>
            <w:tcBorders>
              <w:top w:val="single" w:color="CCCCCC" w:sz="6" w:space="0"/>
              <w:left w:val="single" w:color="CCCCCC" w:sz="6" w:space="0"/>
              <w:bottom w:val="single" w:color="CCCCCC" w:sz="6" w:space="0"/>
              <w:right w:val="single" w:color="CCCCCC" w:sz="6" w:space="0"/>
            </w:tcBorders>
            <w:shd w:val="clear" w:color="auto" w:fill="FFFFFF"/>
            <w:vAlign w:val="center"/>
          </w:tcPr>
          <w:p w14:paraId="63657D7D">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二级医疗机构</w:t>
            </w:r>
          </w:p>
        </w:tc>
        <w:tc>
          <w:tcPr>
            <w:tcW w:w="0" w:type="auto"/>
            <w:tcBorders>
              <w:top w:val="single" w:color="CCCCCC" w:sz="6" w:space="0"/>
              <w:left w:val="single" w:color="CCCCCC" w:sz="6" w:space="0"/>
              <w:bottom w:val="single" w:color="CCCCCC" w:sz="6" w:space="0"/>
              <w:right w:val="single" w:color="CCCCCC" w:sz="6" w:space="0"/>
            </w:tcBorders>
            <w:shd w:val="clear" w:color="auto" w:fill="FFFFFF"/>
            <w:vAlign w:val="center"/>
          </w:tcPr>
          <w:p w14:paraId="31DB3F05">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4000元</w:t>
            </w:r>
          </w:p>
        </w:tc>
        <w:tc>
          <w:tcPr>
            <w:tcW w:w="3855" w:type="dxa"/>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0EE8896C">
            <w:pPr>
              <w:rPr>
                <w:rFonts w:hint="default" w:ascii="Helvetica" w:hAnsi="Helvetica" w:eastAsia="Helvetica" w:cs="Helvetica"/>
                <w:i w:val="0"/>
                <w:iCs w:val="0"/>
                <w:caps w:val="0"/>
                <w:color w:val="000000"/>
                <w:spacing w:val="0"/>
                <w:sz w:val="27"/>
                <w:szCs w:val="27"/>
              </w:rPr>
            </w:pPr>
          </w:p>
        </w:tc>
      </w:tr>
      <w:tr w14:paraId="76DEFF2A">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CellMar>
            <w:top w:w="0" w:type="dxa"/>
            <w:left w:w="0" w:type="dxa"/>
            <w:bottom w:w="0" w:type="dxa"/>
            <w:right w:w="0" w:type="dxa"/>
          </w:tblCellMar>
        </w:tblPrEx>
        <w:trPr>
          <w:trHeight w:val="495" w:hRule="atLeast"/>
        </w:trPr>
        <w:tc>
          <w:tcPr>
            <w:tcW w:w="0" w:type="auto"/>
            <w:tcBorders>
              <w:top w:val="single" w:color="CCCCCC" w:sz="6" w:space="0"/>
              <w:left w:val="single" w:color="CCCCCC" w:sz="6" w:space="0"/>
              <w:bottom w:val="single" w:color="CCCCCC" w:sz="6" w:space="0"/>
              <w:right w:val="single" w:color="CCCCCC" w:sz="6" w:space="0"/>
            </w:tcBorders>
            <w:shd w:val="clear" w:color="auto" w:fill="FFFFFF"/>
            <w:vAlign w:val="center"/>
          </w:tcPr>
          <w:p w14:paraId="6E143BBF">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一级医疗机构</w:t>
            </w:r>
          </w:p>
        </w:tc>
        <w:tc>
          <w:tcPr>
            <w:tcW w:w="0" w:type="auto"/>
            <w:tcBorders>
              <w:top w:val="single" w:color="CCCCCC" w:sz="6" w:space="0"/>
              <w:left w:val="single" w:color="CCCCCC" w:sz="6" w:space="0"/>
              <w:bottom w:val="single" w:color="CCCCCC" w:sz="6" w:space="0"/>
              <w:right w:val="single" w:color="CCCCCC" w:sz="6" w:space="0"/>
            </w:tcBorders>
            <w:shd w:val="clear" w:color="auto" w:fill="FFFFFF"/>
            <w:vAlign w:val="center"/>
          </w:tcPr>
          <w:p w14:paraId="3BD15FC4">
            <w:pPr>
              <w:keepNext w:val="0"/>
              <w:keepLines w:val="0"/>
              <w:widowControl/>
              <w:suppressLineNumbers w:val="0"/>
              <w:jc w:val="center"/>
              <w:rPr>
                <w:rFonts w:hint="default" w:ascii="宋体" w:hAnsi="宋体" w:eastAsia="宋体" w:cs="宋体"/>
                <w:i w:val="0"/>
                <w:iCs w:val="0"/>
                <w:caps w:val="0"/>
                <w:color w:val="333333"/>
                <w:spacing w:val="0"/>
                <w:kern w:val="0"/>
                <w:sz w:val="21"/>
                <w:szCs w:val="21"/>
                <w:lang w:val="en-US" w:eastAsia="zh-CN" w:bidi="ar"/>
              </w:rPr>
            </w:pPr>
            <w:r>
              <w:rPr>
                <w:rFonts w:hint="default" w:ascii="宋体" w:hAnsi="宋体" w:eastAsia="宋体" w:cs="宋体"/>
                <w:i w:val="0"/>
                <w:iCs w:val="0"/>
                <w:caps w:val="0"/>
                <w:color w:val="333333"/>
                <w:spacing w:val="0"/>
                <w:kern w:val="0"/>
                <w:sz w:val="21"/>
                <w:szCs w:val="21"/>
                <w:lang w:val="en-US" w:eastAsia="zh-CN" w:bidi="ar"/>
              </w:rPr>
              <w:t>3000元</w:t>
            </w:r>
          </w:p>
        </w:tc>
        <w:tc>
          <w:tcPr>
            <w:tcW w:w="3855" w:type="dxa"/>
            <w:vMerge w:val="continue"/>
            <w:tcBorders>
              <w:top w:val="single" w:color="CCCCCC" w:sz="6" w:space="0"/>
              <w:left w:val="single" w:color="CCCCCC" w:sz="6" w:space="0"/>
              <w:bottom w:val="single" w:color="CCCCCC" w:sz="6" w:space="0"/>
              <w:right w:val="single" w:color="CCCCCC" w:sz="6" w:space="0"/>
            </w:tcBorders>
            <w:shd w:val="clear" w:color="auto" w:fill="FFFFFF"/>
            <w:vAlign w:val="center"/>
          </w:tcPr>
          <w:p w14:paraId="239DF161">
            <w:pPr>
              <w:rPr>
                <w:rFonts w:hint="default" w:ascii="Helvetica" w:hAnsi="Helvetica" w:eastAsia="Helvetica" w:cs="Helvetica"/>
                <w:i w:val="0"/>
                <w:iCs w:val="0"/>
                <w:caps w:val="0"/>
                <w:color w:val="000000"/>
                <w:spacing w:val="0"/>
                <w:sz w:val="27"/>
                <w:szCs w:val="27"/>
              </w:rPr>
            </w:pPr>
          </w:p>
        </w:tc>
      </w:tr>
    </w:tbl>
    <w:p w14:paraId="33B10597">
      <w:pPr>
        <w:pStyle w:val="3"/>
        <w:keepNext w:val="0"/>
        <w:keepLines w:val="0"/>
        <w:widowControl/>
        <w:suppressLineNumbers w:val="0"/>
        <w:spacing w:before="0" w:beforeAutospacing="0" w:after="150" w:afterAutospacing="0"/>
        <w:ind w:left="0" w:right="0"/>
      </w:pPr>
    </w:p>
    <w:p w14:paraId="3B2CE460">
      <w:pPr>
        <w:pStyle w:val="3"/>
        <w:keepNext w:val="0"/>
        <w:keepLines w:val="0"/>
        <w:widowControl/>
        <w:suppressLineNumbers w:val="0"/>
        <w:spacing w:before="0" w:beforeAutospacing="0" w:after="150" w:afterAutospacing="0"/>
        <w:ind w:left="0" w:right="0" w:firstLine="0"/>
      </w:pPr>
      <w:r>
        <w:rPr>
          <w:rFonts w:hint="eastAsia" w:ascii="微软雅黑" w:hAnsi="微软雅黑" w:eastAsia="微软雅黑" w:cs="微软雅黑"/>
          <w:i w:val="0"/>
          <w:iCs w:val="0"/>
          <w:caps w:val="0"/>
          <w:color w:val="333333"/>
          <w:spacing w:val="0"/>
          <w:sz w:val="21"/>
          <w:szCs w:val="21"/>
        </w:rPr>
        <w:t>七、</w:t>
      </w:r>
      <w:r>
        <w:rPr>
          <w:rFonts w:hint="eastAsia" w:ascii="宋体" w:hAnsi="宋体" w:eastAsia="宋体" w:cs="宋体"/>
          <w:i w:val="0"/>
          <w:iCs w:val="0"/>
          <w:caps w:val="0"/>
          <w:color w:val="333333"/>
          <w:spacing w:val="0"/>
          <w:sz w:val="21"/>
          <w:szCs w:val="21"/>
        </w:rPr>
        <w:t>居民医疗救助</w:t>
      </w:r>
    </w:p>
    <w:p w14:paraId="7A924DDB">
      <w:pPr>
        <w:pStyle w:val="3"/>
        <w:keepNext w:val="0"/>
        <w:keepLines w:val="0"/>
        <w:widowControl/>
        <w:suppressLineNumbers w:val="0"/>
        <w:spacing w:before="0" w:beforeAutospacing="0" w:after="150" w:afterAutospacing="0"/>
        <w:ind w:left="0" w:right="0" w:firstLine="420"/>
        <w:rPr>
          <w:rFonts w:hint="eastAsia" w:ascii="宋体" w:hAnsi="宋体" w:eastAsia="宋体" w:cs="宋体"/>
          <w:i w:val="0"/>
          <w:iCs w:val="0"/>
          <w:caps w:val="0"/>
          <w:color w:val="333333"/>
          <w:spacing w:val="0"/>
          <w:sz w:val="21"/>
          <w:szCs w:val="21"/>
          <w:lang w:val="en-US" w:eastAsia="zh-CN"/>
        </w:rPr>
      </w:pPr>
      <w:r>
        <w:rPr>
          <w:rFonts w:hint="eastAsia" w:ascii="宋体" w:hAnsi="宋体" w:eastAsia="宋体" w:cs="宋体"/>
          <w:i w:val="0"/>
          <w:iCs w:val="0"/>
          <w:caps w:val="0"/>
          <w:color w:val="333333"/>
          <w:spacing w:val="0"/>
          <w:sz w:val="21"/>
          <w:szCs w:val="21"/>
          <w:lang w:val="en-US" w:eastAsia="zh-CN"/>
        </w:rPr>
        <w:t>医疗救助是对救助对象在医保定点机构发生的政策范围内门诊和住院医疗费用，经基本医疗保险、大病保险及其他补充医疗保险报销后的个人负担部分，给予救助。救助对象包括特困人员，最低生活保障对象，困境儿童，符合条件的享受国家抚恤补助的优抚对象，享受民政部门定期定量生活补助费的</w:t>
      </w:r>
      <w:r>
        <w:rPr>
          <w:rFonts w:hint="default" w:ascii="宋体" w:hAnsi="宋体" w:eastAsia="宋体" w:cs="宋体"/>
          <w:i w:val="0"/>
          <w:iCs w:val="0"/>
          <w:caps w:val="0"/>
          <w:color w:val="333333"/>
          <w:spacing w:val="0"/>
          <w:sz w:val="21"/>
          <w:szCs w:val="21"/>
          <w:lang w:val="en-US" w:eastAsia="zh-CN"/>
        </w:rPr>
        <w:t>20</w:t>
      </w:r>
      <w:r>
        <w:rPr>
          <w:rFonts w:hint="eastAsia" w:ascii="宋体" w:hAnsi="宋体" w:eastAsia="宋体" w:cs="宋体"/>
          <w:i w:val="0"/>
          <w:iCs w:val="0"/>
          <w:caps w:val="0"/>
          <w:color w:val="333333"/>
          <w:spacing w:val="0"/>
          <w:sz w:val="21"/>
          <w:szCs w:val="21"/>
          <w:lang w:val="en-US" w:eastAsia="zh-CN"/>
        </w:rPr>
        <w:t>世纪</w:t>
      </w:r>
      <w:r>
        <w:rPr>
          <w:rFonts w:hint="default" w:ascii="宋体" w:hAnsi="宋体" w:eastAsia="宋体" w:cs="宋体"/>
          <w:i w:val="0"/>
          <w:iCs w:val="0"/>
          <w:caps w:val="0"/>
          <w:color w:val="333333"/>
          <w:spacing w:val="0"/>
          <w:sz w:val="21"/>
          <w:szCs w:val="21"/>
          <w:lang w:val="en-US" w:eastAsia="zh-CN"/>
        </w:rPr>
        <w:t>60</w:t>
      </w:r>
      <w:r>
        <w:rPr>
          <w:rFonts w:hint="eastAsia" w:ascii="宋体" w:hAnsi="宋体" w:eastAsia="宋体" w:cs="宋体"/>
          <w:i w:val="0"/>
          <w:iCs w:val="0"/>
          <w:caps w:val="0"/>
          <w:color w:val="333333"/>
          <w:spacing w:val="0"/>
          <w:sz w:val="21"/>
          <w:szCs w:val="21"/>
          <w:lang w:val="en-US" w:eastAsia="zh-CN"/>
        </w:rPr>
        <w:t>年代精简退职职工，市、县（市、区）总工会核定的特困职工，低保边缘家庭成员，支出型困难家庭中的大重病患者，具有当地户籍的临时救助对象中的大重病患者，发放生活补贴的重度残疾人不设年度起付标准，分类设定救助比例和年度纳入救助医疗费用最高限额。特困人员，困境儿童中的孤儿和事实无人抚养儿童按的比例给予救助；最低生活保障对象，符合条件的享受国家抚恤补助的优抚对象，享受民政部门定期定量生活补助费的</w:t>
      </w:r>
      <w:r>
        <w:rPr>
          <w:rFonts w:hint="default" w:ascii="宋体" w:hAnsi="宋体" w:eastAsia="宋体" w:cs="宋体"/>
          <w:i w:val="0"/>
          <w:iCs w:val="0"/>
          <w:caps w:val="0"/>
          <w:color w:val="333333"/>
          <w:spacing w:val="0"/>
          <w:sz w:val="21"/>
          <w:szCs w:val="21"/>
          <w:lang w:val="en-US" w:eastAsia="zh-CN"/>
        </w:rPr>
        <w:t>20</w:t>
      </w:r>
      <w:r>
        <w:rPr>
          <w:rFonts w:hint="eastAsia" w:ascii="宋体" w:hAnsi="宋体" w:eastAsia="宋体" w:cs="宋体"/>
          <w:i w:val="0"/>
          <w:iCs w:val="0"/>
          <w:caps w:val="0"/>
          <w:color w:val="333333"/>
          <w:spacing w:val="0"/>
          <w:sz w:val="21"/>
          <w:szCs w:val="21"/>
          <w:lang w:val="en-US" w:eastAsia="zh-CN"/>
        </w:rPr>
        <w:t>世纪</w:t>
      </w:r>
      <w:r>
        <w:rPr>
          <w:rFonts w:hint="default" w:ascii="宋体" w:hAnsi="宋体" w:eastAsia="宋体" w:cs="宋体"/>
          <w:i w:val="0"/>
          <w:iCs w:val="0"/>
          <w:caps w:val="0"/>
          <w:color w:val="333333"/>
          <w:spacing w:val="0"/>
          <w:sz w:val="21"/>
          <w:szCs w:val="21"/>
          <w:lang w:val="en-US" w:eastAsia="zh-CN"/>
        </w:rPr>
        <w:t>60</w:t>
      </w:r>
      <w:r>
        <w:rPr>
          <w:rFonts w:hint="eastAsia" w:ascii="宋体" w:hAnsi="宋体" w:eastAsia="宋体" w:cs="宋体"/>
          <w:i w:val="0"/>
          <w:iCs w:val="0"/>
          <w:caps w:val="0"/>
          <w:color w:val="333333"/>
          <w:spacing w:val="0"/>
          <w:sz w:val="21"/>
          <w:szCs w:val="21"/>
          <w:lang w:val="en-US" w:eastAsia="zh-CN"/>
        </w:rPr>
        <w:t>年代精简退职职工，市、县（市、区）总工会核定的特困职工以及其他困境儿童按</w:t>
      </w:r>
      <w:r>
        <w:rPr>
          <w:rFonts w:hint="default" w:ascii="宋体" w:hAnsi="宋体" w:eastAsia="宋体" w:cs="宋体"/>
          <w:i w:val="0"/>
          <w:iCs w:val="0"/>
          <w:caps w:val="0"/>
          <w:color w:val="333333"/>
          <w:spacing w:val="0"/>
          <w:sz w:val="21"/>
          <w:szCs w:val="21"/>
          <w:lang w:val="en-US" w:eastAsia="zh-CN"/>
        </w:rPr>
        <w:t>80%</w:t>
      </w:r>
      <w:r>
        <w:rPr>
          <w:rFonts w:hint="eastAsia" w:ascii="宋体" w:hAnsi="宋体" w:eastAsia="宋体" w:cs="宋体"/>
          <w:i w:val="0"/>
          <w:iCs w:val="0"/>
          <w:caps w:val="0"/>
          <w:color w:val="333333"/>
          <w:spacing w:val="0"/>
          <w:sz w:val="21"/>
          <w:szCs w:val="21"/>
          <w:lang w:val="en-US" w:eastAsia="zh-CN"/>
        </w:rPr>
        <w:t>的比例给予救助；低保边缘家庭成员，支出型困难家庭中的大重病患者，具有当地户籍的临时救助对象中的大重病患者，发放生活补贴的重度残疾人按</w:t>
      </w:r>
      <w:r>
        <w:rPr>
          <w:rFonts w:hint="default" w:ascii="宋体" w:hAnsi="宋体" w:eastAsia="宋体" w:cs="宋体"/>
          <w:i w:val="0"/>
          <w:iCs w:val="0"/>
          <w:caps w:val="0"/>
          <w:color w:val="333333"/>
          <w:spacing w:val="0"/>
          <w:sz w:val="21"/>
          <w:szCs w:val="21"/>
          <w:lang w:val="en-US" w:eastAsia="zh-CN"/>
        </w:rPr>
        <w:t>70%</w:t>
      </w:r>
      <w:r>
        <w:rPr>
          <w:rFonts w:hint="eastAsia" w:ascii="宋体" w:hAnsi="宋体" w:eastAsia="宋体" w:cs="宋体"/>
          <w:i w:val="0"/>
          <w:iCs w:val="0"/>
          <w:caps w:val="0"/>
          <w:color w:val="333333"/>
          <w:spacing w:val="0"/>
          <w:sz w:val="21"/>
          <w:szCs w:val="21"/>
          <w:lang w:val="en-US" w:eastAsia="zh-CN"/>
        </w:rPr>
        <w:t>的比例给予救助。救助限额：普通门诊为</w:t>
      </w:r>
      <w:r>
        <w:rPr>
          <w:rFonts w:hint="default" w:ascii="宋体" w:hAnsi="宋体" w:eastAsia="宋体" w:cs="宋体"/>
          <w:i w:val="0"/>
          <w:iCs w:val="0"/>
          <w:caps w:val="0"/>
          <w:color w:val="333333"/>
          <w:spacing w:val="0"/>
          <w:sz w:val="21"/>
          <w:szCs w:val="21"/>
          <w:lang w:val="en-US" w:eastAsia="zh-CN"/>
        </w:rPr>
        <w:t>1</w:t>
      </w:r>
      <w:r>
        <w:rPr>
          <w:rFonts w:hint="eastAsia" w:ascii="宋体" w:hAnsi="宋体" w:eastAsia="宋体" w:cs="宋体"/>
          <w:i w:val="0"/>
          <w:iCs w:val="0"/>
          <w:caps w:val="0"/>
          <w:color w:val="333333"/>
          <w:spacing w:val="0"/>
          <w:sz w:val="21"/>
          <w:szCs w:val="21"/>
          <w:lang w:val="en-US" w:eastAsia="zh-CN"/>
        </w:rPr>
        <w:t>万元；门诊慢性病、门诊特殊病和住院共用限额，为我市上年度城乡居民人均可支配收入的</w:t>
      </w:r>
      <w:r>
        <w:rPr>
          <w:rFonts w:hint="default" w:ascii="宋体" w:hAnsi="宋体" w:eastAsia="宋体" w:cs="宋体"/>
          <w:i w:val="0"/>
          <w:iCs w:val="0"/>
          <w:caps w:val="0"/>
          <w:color w:val="333333"/>
          <w:spacing w:val="0"/>
          <w:sz w:val="21"/>
          <w:szCs w:val="21"/>
          <w:lang w:val="en-US" w:eastAsia="zh-CN"/>
        </w:rPr>
        <w:t>3</w:t>
      </w:r>
      <w:r>
        <w:rPr>
          <w:rFonts w:hint="eastAsia" w:ascii="宋体" w:hAnsi="宋体" w:eastAsia="宋体" w:cs="宋体"/>
          <w:i w:val="0"/>
          <w:iCs w:val="0"/>
          <w:caps w:val="0"/>
          <w:color w:val="333333"/>
          <w:spacing w:val="0"/>
          <w:sz w:val="21"/>
          <w:szCs w:val="21"/>
          <w:lang w:val="en-US" w:eastAsia="zh-CN"/>
        </w:rPr>
        <w:t>倍。</w:t>
      </w:r>
    </w:p>
    <w:p w14:paraId="30636369">
      <w:pPr>
        <w:pStyle w:val="3"/>
        <w:keepNext w:val="0"/>
        <w:keepLines w:val="0"/>
        <w:widowControl/>
        <w:suppressLineNumbers w:val="0"/>
        <w:spacing w:before="0" w:beforeAutospacing="0" w:after="150" w:afterAutospacing="0"/>
        <w:ind w:left="0" w:right="0" w:firstLine="420"/>
        <w:rPr>
          <w:rFonts w:hint="eastAsia" w:ascii="宋体" w:hAnsi="宋体" w:eastAsia="宋体" w:cs="宋体"/>
          <w:i w:val="0"/>
          <w:iCs w:val="0"/>
          <w:caps w:val="0"/>
          <w:color w:val="333333"/>
          <w:spacing w:val="0"/>
          <w:sz w:val="21"/>
          <w:szCs w:val="21"/>
          <w:lang w:val="en-US" w:eastAsia="zh-CN"/>
        </w:rPr>
      </w:pPr>
    </w:p>
    <w:p w14:paraId="3833748D">
      <w:pPr>
        <w:pStyle w:val="3"/>
        <w:keepNext w:val="0"/>
        <w:keepLines w:val="0"/>
        <w:widowControl/>
        <w:suppressLineNumbers w:val="0"/>
        <w:spacing w:before="0" w:beforeAutospacing="0" w:after="150" w:afterAutospacing="0"/>
        <w:ind w:left="0" w:right="0"/>
      </w:pPr>
      <w:r>
        <w:rPr>
          <w:rStyle w:val="6"/>
          <w:rFonts w:hint="eastAsia" w:ascii="宋体" w:hAnsi="宋体" w:eastAsia="宋体" w:cs="宋体"/>
          <w:b/>
          <w:bCs/>
          <w:i w:val="0"/>
          <w:iCs w:val="0"/>
          <w:caps w:val="0"/>
          <w:color w:val="333333"/>
          <w:spacing w:val="0"/>
          <w:sz w:val="30"/>
          <w:szCs w:val="30"/>
        </w:rPr>
        <w:t>转诊手续</w:t>
      </w:r>
    </w:p>
    <w:p w14:paraId="0CF09111">
      <w:pPr>
        <w:pStyle w:val="3"/>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rPr>
        <w:t>市外转诊</w:t>
      </w:r>
    </w:p>
    <w:p w14:paraId="6979542E">
      <w:pPr>
        <w:pStyle w:val="3"/>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rPr>
        <w:t>参保人员市外就医，应办理转诊手续，选择就医地，不指定具体医疗机构，医保费用结算按异地就医结算办法执行。</w:t>
      </w:r>
    </w:p>
    <w:p w14:paraId="04FC340A">
      <w:pPr>
        <w:pStyle w:val="3"/>
        <w:keepNext w:val="0"/>
        <w:keepLines w:val="0"/>
        <w:widowControl/>
        <w:suppressLineNumbers w:val="0"/>
        <w:spacing w:before="0" w:beforeAutospacing="0" w:after="150" w:afterAutospacing="0"/>
        <w:ind w:left="0" w:right="0"/>
      </w:pPr>
      <w:r>
        <w:rPr>
          <w:rFonts w:hint="eastAsia" w:ascii="微软雅黑" w:hAnsi="微软雅黑" w:eastAsia="微软雅黑" w:cs="微软雅黑"/>
          <w:i w:val="0"/>
          <w:iCs w:val="0"/>
          <w:caps w:val="0"/>
          <w:color w:val="333333"/>
          <w:spacing w:val="0"/>
          <w:sz w:val="21"/>
          <w:szCs w:val="21"/>
        </w:rPr>
        <w:drawing>
          <wp:inline distT="0" distB="0" distL="114300" distR="114300">
            <wp:extent cx="5142865" cy="1647825"/>
            <wp:effectExtent l="0" t="0" r="635" b="9525"/>
            <wp:docPr id="14" name="图片 10" desc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descr="8.jpg"/>
                    <pic:cNvPicPr>
                      <a:picLocks noChangeAspect="1"/>
                    </pic:cNvPicPr>
                  </pic:nvPicPr>
                  <pic:blipFill>
                    <a:blip r:embed="rId5"/>
                    <a:stretch>
                      <a:fillRect/>
                    </a:stretch>
                  </pic:blipFill>
                  <pic:spPr>
                    <a:xfrm>
                      <a:off x="0" y="0"/>
                      <a:ext cx="5142865" cy="1647825"/>
                    </a:xfrm>
                    <a:prstGeom prst="rect">
                      <a:avLst/>
                    </a:prstGeom>
                    <a:noFill/>
                    <a:ln w="9525">
                      <a:noFill/>
                    </a:ln>
                  </pic:spPr>
                </pic:pic>
              </a:graphicData>
            </a:graphic>
          </wp:inline>
        </w:drawing>
      </w:r>
    </w:p>
    <w:p w14:paraId="0E2CD7EF">
      <w:pPr>
        <w:pStyle w:val="3"/>
        <w:keepNext w:val="0"/>
        <w:keepLines w:val="0"/>
        <w:widowControl/>
        <w:suppressLineNumbers w:val="0"/>
        <w:spacing w:before="0" w:beforeAutospacing="0" w:after="150" w:afterAutospacing="0"/>
        <w:ind w:left="0" w:right="0"/>
      </w:pPr>
      <w:r>
        <w:rPr>
          <w:rStyle w:val="6"/>
          <w:rFonts w:hint="eastAsia" w:ascii="宋体" w:hAnsi="宋体" w:eastAsia="宋体" w:cs="宋体"/>
          <w:b/>
          <w:bCs/>
          <w:i w:val="0"/>
          <w:iCs w:val="0"/>
          <w:caps w:val="0"/>
          <w:color w:val="333333"/>
          <w:spacing w:val="0"/>
          <w:sz w:val="30"/>
          <w:szCs w:val="30"/>
        </w:rPr>
        <w:t>慢病特殊病申请流程</w:t>
      </w:r>
    </w:p>
    <w:p w14:paraId="27D6BCE3">
      <w:pPr>
        <w:pStyle w:val="3"/>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rPr>
        <w:t>　　新申请人员携带社会保障卡，二级三级医疗机构出具的疾病诊断书和相应检查报告或近两年出院记录（出院小结），到医院门诊二楼医保病种认定窗口申报，符合条件的参保人员在选择的定点医疗机构实行划卡就诊，即时结报。</w:t>
      </w:r>
    </w:p>
    <w:p w14:paraId="4D4A81FE">
      <w:pPr>
        <w:pStyle w:val="3"/>
        <w:keepNext w:val="0"/>
        <w:keepLines w:val="0"/>
        <w:widowControl/>
        <w:suppressLineNumbers w:val="0"/>
        <w:spacing w:before="0" w:beforeAutospacing="0" w:after="150" w:afterAutospacing="0"/>
        <w:ind w:left="0" w:right="0"/>
      </w:pPr>
      <w:r>
        <w:rPr>
          <w:rFonts w:hint="eastAsia" w:ascii="微软雅黑" w:hAnsi="微软雅黑" w:eastAsia="微软雅黑" w:cs="微软雅黑"/>
          <w:i w:val="0"/>
          <w:iCs w:val="0"/>
          <w:caps w:val="0"/>
          <w:color w:val="333333"/>
          <w:spacing w:val="0"/>
          <w:sz w:val="21"/>
          <w:szCs w:val="21"/>
        </w:rPr>
        <w:t>    </w:t>
      </w:r>
      <w:r>
        <w:rPr>
          <w:rFonts w:hint="eastAsia" w:ascii="宋体" w:hAnsi="宋体" w:eastAsia="宋体" w:cs="宋体"/>
          <w:i w:val="0"/>
          <w:iCs w:val="0"/>
          <w:caps w:val="0"/>
          <w:color w:val="333333"/>
          <w:spacing w:val="0"/>
          <w:sz w:val="21"/>
          <w:szCs w:val="21"/>
        </w:rPr>
        <w:t>患有“两病”、慢性病的居民，选择一家医疗定点机构就医；特殊病的居民，可选择两家医疗定点机构就医。需到非定点医院就医的，由选定的医疗机构办理转诊手续。</w:t>
      </w:r>
    </w:p>
    <w:p w14:paraId="1025EA2F">
      <w:pPr>
        <w:pStyle w:val="3"/>
        <w:keepNext w:val="0"/>
        <w:keepLines w:val="0"/>
        <w:widowControl/>
        <w:suppressLineNumbers w:val="0"/>
        <w:spacing w:before="0" w:beforeAutospacing="0" w:after="150" w:afterAutospacing="0"/>
        <w:ind w:left="0" w:right="0"/>
      </w:pPr>
      <w:r>
        <w:rPr>
          <w:rStyle w:val="6"/>
          <w:rFonts w:hint="eastAsia" w:ascii="宋体" w:hAnsi="宋体" w:eastAsia="宋体" w:cs="宋体"/>
          <w:b/>
          <w:bCs/>
          <w:i w:val="0"/>
          <w:iCs w:val="0"/>
          <w:caps w:val="0"/>
          <w:color w:val="333333"/>
          <w:spacing w:val="0"/>
          <w:sz w:val="30"/>
          <w:szCs w:val="30"/>
        </w:rPr>
        <w:t>异地就医政策</w:t>
      </w:r>
    </w:p>
    <w:p w14:paraId="108DDB99">
      <w:pPr>
        <w:pStyle w:val="3"/>
        <w:keepNext w:val="0"/>
        <w:keepLines w:val="0"/>
        <w:widowControl/>
        <w:suppressLineNumbers w:val="0"/>
        <w:spacing w:before="0" w:beforeAutospacing="0" w:after="150" w:afterAutospacing="0"/>
        <w:ind w:left="0" w:right="0"/>
      </w:pPr>
      <w:r>
        <w:rPr>
          <w:rStyle w:val="6"/>
          <w:rFonts w:hint="eastAsia" w:ascii="宋体" w:hAnsi="宋体" w:eastAsia="宋体" w:cs="宋体"/>
          <w:b/>
          <w:bCs/>
          <w:i w:val="0"/>
          <w:iCs w:val="0"/>
          <w:caps w:val="0"/>
          <w:color w:val="333333"/>
          <w:spacing w:val="0"/>
          <w:sz w:val="21"/>
          <w:szCs w:val="21"/>
        </w:rPr>
        <w:t>一、</w:t>
      </w:r>
      <w:r>
        <w:rPr>
          <w:rFonts w:hint="eastAsia" w:ascii="宋体" w:hAnsi="宋体" w:eastAsia="宋体" w:cs="宋体"/>
          <w:i w:val="0"/>
          <w:iCs w:val="0"/>
          <w:caps w:val="0"/>
          <w:color w:val="333333"/>
          <w:spacing w:val="0"/>
          <w:sz w:val="21"/>
          <w:szCs w:val="21"/>
        </w:rPr>
        <w:t>可申请异地就医的人员：</w:t>
      </w:r>
    </w:p>
    <w:p w14:paraId="6538C33E">
      <w:pPr>
        <w:keepNext w:val="0"/>
        <w:keepLines w:val="0"/>
        <w:widowControl/>
        <w:suppressLineNumbers w:val="0"/>
        <w:shd w:val="clear" w:fill="FFFFFF"/>
        <w:spacing w:before="0" w:beforeAutospacing="0" w:after="0" w:afterAutospacing="0" w:line="560" w:lineRule="atLeast"/>
        <w:ind w:right="0" w:firstLine="420" w:firstLineChars="200"/>
        <w:jc w:val="both"/>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w:t>
      </w:r>
      <w:r>
        <w:rPr>
          <w:rFonts w:hint="default" w:ascii="宋体" w:hAnsi="宋体" w:eastAsia="宋体" w:cs="宋体"/>
          <w:i w:val="0"/>
          <w:iCs w:val="0"/>
          <w:caps w:val="0"/>
          <w:color w:val="333333"/>
          <w:spacing w:val="0"/>
          <w:kern w:val="0"/>
          <w:sz w:val="21"/>
          <w:szCs w:val="21"/>
          <w:lang w:val="en-US" w:eastAsia="zh-CN" w:bidi="ar"/>
        </w:rPr>
        <w:t>1</w:t>
      </w:r>
      <w:r>
        <w:rPr>
          <w:rFonts w:hint="eastAsia" w:ascii="宋体" w:hAnsi="宋体" w:eastAsia="宋体" w:cs="宋体"/>
          <w:i w:val="0"/>
          <w:iCs w:val="0"/>
          <w:caps w:val="0"/>
          <w:color w:val="333333"/>
          <w:spacing w:val="0"/>
          <w:kern w:val="0"/>
          <w:sz w:val="21"/>
          <w:szCs w:val="21"/>
          <w:lang w:val="en-US" w:eastAsia="zh-CN" w:bidi="ar"/>
        </w:rPr>
        <w:t>）长期异地居住人员，包括异地安置退休人员、异地长期居住人员、常驻异地工作人员，分别指退休后在市外定居并且户籍迁入定居地的参保人员、在市外长期居住未迁户籍的参保人员、用人单位派驻市外长期工作的参保人员。</w:t>
      </w:r>
    </w:p>
    <w:p w14:paraId="2F1C8EFE">
      <w:pPr>
        <w:keepNext w:val="0"/>
        <w:keepLines w:val="0"/>
        <w:widowControl/>
        <w:suppressLineNumbers w:val="0"/>
        <w:shd w:val="clear" w:fill="FFFFFF"/>
        <w:spacing w:before="0" w:beforeAutospacing="0" w:after="0" w:afterAutospacing="0" w:line="560" w:lineRule="atLeast"/>
        <w:ind w:right="0" w:firstLine="420" w:firstLineChars="200"/>
        <w:jc w:val="both"/>
        <w:rPr>
          <w:rFonts w:hint="default"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w:t>
      </w:r>
      <w:r>
        <w:rPr>
          <w:rFonts w:hint="default" w:ascii="宋体" w:hAnsi="宋体" w:eastAsia="宋体" w:cs="宋体"/>
          <w:i w:val="0"/>
          <w:iCs w:val="0"/>
          <w:caps w:val="0"/>
          <w:color w:val="333333"/>
          <w:spacing w:val="0"/>
          <w:kern w:val="0"/>
          <w:sz w:val="21"/>
          <w:szCs w:val="21"/>
          <w:lang w:val="en-US" w:eastAsia="zh-CN" w:bidi="ar"/>
        </w:rPr>
        <w:t>2</w:t>
      </w:r>
      <w:r>
        <w:rPr>
          <w:rFonts w:hint="eastAsia" w:ascii="宋体" w:hAnsi="宋体" w:eastAsia="宋体" w:cs="宋体"/>
          <w:i w:val="0"/>
          <w:iCs w:val="0"/>
          <w:caps w:val="0"/>
          <w:color w:val="333333"/>
          <w:spacing w:val="0"/>
          <w:kern w:val="0"/>
          <w:sz w:val="21"/>
          <w:szCs w:val="21"/>
          <w:lang w:val="en-US" w:eastAsia="zh-CN" w:bidi="ar"/>
        </w:rPr>
        <w:t>）临时外出就医人员，包括异地转诊就医人员、异地急诊抢救人员、其他临时外出就医人员。异地转诊就医人员指经具有转诊资质的医疗机构批准，需要到市外医疗机构继续就医的参保人员；异地急诊抢救人员指因工作、旅游等原因，在异地突发疾病急诊抢救的参保人员；其他临时外出就医人员指未经具有转诊资质的医疗机构转诊，自主备案到市外定点医疗机构直接结算就医的参保人员。</w:t>
      </w:r>
    </w:p>
    <w:p w14:paraId="27E55009">
      <w:pPr>
        <w:pStyle w:val="3"/>
        <w:keepNext w:val="0"/>
        <w:keepLines w:val="0"/>
        <w:widowControl/>
        <w:suppressLineNumbers w:val="0"/>
        <w:spacing w:before="0" w:beforeAutospacing="0" w:after="150" w:afterAutospacing="0"/>
        <w:ind w:left="0" w:right="0"/>
      </w:pPr>
    </w:p>
    <w:p w14:paraId="0ED59AB7">
      <w:pPr>
        <w:pStyle w:val="3"/>
        <w:keepNext w:val="0"/>
        <w:keepLines w:val="0"/>
        <w:widowControl/>
        <w:suppressLineNumbers w:val="0"/>
        <w:spacing w:before="0" w:beforeAutospacing="0" w:after="150" w:afterAutospacing="0"/>
        <w:ind w:left="0" w:right="0"/>
      </w:pPr>
    </w:p>
    <w:p w14:paraId="041B3F10">
      <w:pPr>
        <w:pStyle w:val="3"/>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rPr>
        <w:t>二、异地就医申请流程：</w:t>
      </w:r>
    </w:p>
    <w:p w14:paraId="1FF48796">
      <w:pPr>
        <w:pStyle w:val="3"/>
        <w:keepNext w:val="0"/>
        <w:keepLines w:val="0"/>
        <w:widowControl/>
        <w:suppressLineNumbers w:val="0"/>
        <w:spacing w:before="0" w:beforeAutospacing="0" w:after="150" w:afterAutospacing="0"/>
        <w:ind w:left="0" w:right="0"/>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 可选择两种方式备案：（1）经办窗口备案。提供有效身份证件（医保电子凭证、本人身份证或社会保障卡，下同）和长期居住认定材料在经办窗口直接办理。</w:t>
      </w:r>
    </w:p>
    <w:p w14:paraId="059556AB">
      <w:pPr>
        <w:pStyle w:val="3"/>
        <w:keepNext w:val="0"/>
        <w:keepLines w:val="0"/>
        <w:widowControl/>
        <w:suppressLineNumbers w:val="0"/>
        <w:spacing w:before="0" w:beforeAutospacing="0" w:after="150" w:afterAutospacing="0"/>
        <w:ind w:left="0" w:right="0"/>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（2）线上办理备案。可以通过江苏医保云APP、</w:t>
      </w:r>
      <w:r>
        <w:rPr>
          <w:rFonts w:hint="default" w:ascii="宋体" w:hAnsi="宋体" w:eastAsia="宋体" w:cs="宋体"/>
          <w:i w:val="0"/>
          <w:iCs w:val="0"/>
          <w:caps w:val="0"/>
          <w:color w:val="333333"/>
          <w:spacing w:val="0"/>
          <w:kern w:val="0"/>
          <w:sz w:val="21"/>
          <w:szCs w:val="21"/>
          <w:lang w:val="en-US" w:eastAsia="zh-CN" w:bidi="ar"/>
        </w:rPr>
        <w:t>“</w:t>
      </w:r>
      <w:r>
        <w:rPr>
          <w:rFonts w:hint="eastAsia" w:ascii="宋体" w:hAnsi="宋体" w:eastAsia="宋体" w:cs="宋体"/>
          <w:i w:val="0"/>
          <w:iCs w:val="0"/>
          <w:caps w:val="0"/>
          <w:color w:val="333333"/>
          <w:spacing w:val="0"/>
          <w:kern w:val="0"/>
          <w:sz w:val="21"/>
          <w:szCs w:val="21"/>
          <w:lang w:val="en-US" w:eastAsia="zh-CN" w:bidi="ar"/>
        </w:rPr>
        <w:t>盐城医保</w:t>
      </w:r>
      <w:r>
        <w:rPr>
          <w:rFonts w:hint="default" w:ascii="宋体" w:hAnsi="宋体" w:eastAsia="宋体" w:cs="宋体"/>
          <w:i w:val="0"/>
          <w:iCs w:val="0"/>
          <w:caps w:val="0"/>
          <w:color w:val="333333"/>
          <w:spacing w:val="0"/>
          <w:kern w:val="0"/>
          <w:sz w:val="21"/>
          <w:szCs w:val="21"/>
          <w:lang w:val="en-US" w:eastAsia="zh-CN" w:bidi="ar"/>
        </w:rPr>
        <w:t>”</w:t>
      </w:r>
      <w:r>
        <w:rPr>
          <w:rFonts w:hint="eastAsia" w:ascii="宋体" w:hAnsi="宋体" w:eastAsia="宋体" w:cs="宋体"/>
          <w:i w:val="0"/>
          <w:iCs w:val="0"/>
          <w:caps w:val="0"/>
          <w:color w:val="333333"/>
          <w:spacing w:val="0"/>
          <w:kern w:val="0"/>
          <w:sz w:val="21"/>
          <w:szCs w:val="21"/>
          <w:lang w:val="en-US" w:eastAsia="zh-CN" w:bidi="ar"/>
        </w:rPr>
        <w:t>微信公众号、国家医保服务平台</w:t>
      </w:r>
      <w:r>
        <w:rPr>
          <w:rFonts w:hint="default" w:ascii="宋体" w:hAnsi="宋体" w:eastAsia="宋体" w:cs="宋体"/>
          <w:i w:val="0"/>
          <w:iCs w:val="0"/>
          <w:caps w:val="0"/>
          <w:color w:val="333333"/>
          <w:spacing w:val="0"/>
          <w:kern w:val="0"/>
          <w:sz w:val="21"/>
          <w:szCs w:val="21"/>
          <w:lang w:val="en-US" w:eastAsia="zh-CN" w:bidi="ar"/>
        </w:rPr>
        <w:t>APP</w:t>
      </w:r>
      <w:r>
        <w:rPr>
          <w:rFonts w:hint="eastAsia" w:ascii="宋体" w:hAnsi="宋体" w:eastAsia="宋体" w:cs="宋体"/>
          <w:i w:val="0"/>
          <w:iCs w:val="0"/>
          <w:caps w:val="0"/>
          <w:color w:val="333333"/>
          <w:spacing w:val="0"/>
          <w:kern w:val="0"/>
          <w:sz w:val="21"/>
          <w:szCs w:val="21"/>
          <w:lang w:val="en-US" w:eastAsia="zh-CN" w:bidi="ar"/>
        </w:rPr>
        <w:t>（仅适用于申请跨省就医）等渠道，按提示上传有效身份证件、长期居住证明等材料自助提交备案申请，2个工作日内审核通过后，即可实现异地就医直接结算。</w:t>
      </w:r>
    </w:p>
    <w:p w14:paraId="2ABEFFE8">
      <w:pPr>
        <w:pStyle w:val="3"/>
        <w:keepNext w:val="0"/>
        <w:keepLines w:val="0"/>
        <w:widowControl/>
        <w:suppressLineNumbers w:val="0"/>
        <w:spacing w:before="0" w:beforeAutospacing="0" w:after="150" w:afterAutospacing="0"/>
        <w:ind w:left="0" w:right="0"/>
        <w:rPr>
          <w:rStyle w:val="6"/>
          <w:rFonts w:hint="eastAsia" w:ascii="宋体" w:hAnsi="宋体" w:eastAsia="宋体" w:cs="宋体"/>
          <w:b/>
          <w:bCs/>
          <w:i w:val="0"/>
          <w:iCs w:val="0"/>
          <w:caps w:val="0"/>
          <w:color w:val="333333"/>
          <w:spacing w:val="0"/>
          <w:sz w:val="30"/>
          <w:szCs w:val="30"/>
        </w:rPr>
      </w:pPr>
    </w:p>
    <w:p w14:paraId="1925ED81">
      <w:pPr>
        <w:pStyle w:val="3"/>
        <w:keepNext w:val="0"/>
        <w:keepLines w:val="0"/>
        <w:widowControl/>
        <w:suppressLineNumbers w:val="0"/>
        <w:spacing w:before="0" w:beforeAutospacing="0" w:after="150" w:afterAutospacing="0"/>
        <w:ind w:left="0" w:right="0"/>
        <w:rPr>
          <w:rStyle w:val="6"/>
          <w:rFonts w:hint="eastAsia" w:ascii="宋体" w:hAnsi="宋体" w:eastAsia="宋体" w:cs="宋体"/>
          <w:b/>
          <w:bCs/>
          <w:i w:val="0"/>
          <w:iCs w:val="0"/>
          <w:caps w:val="0"/>
          <w:color w:val="333333"/>
          <w:spacing w:val="0"/>
          <w:sz w:val="30"/>
          <w:szCs w:val="30"/>
        </w:rPr>
      </w:pPr>
    </w:p>
    <w:p w14:paraId="1B163773">
      <w:pPr>
        <w:pStyle w:val="3"/>
        <w:keepNext w:val="0"/>
        <w:keepLines w:val="0"/>
        <w:widowControl/>
        <w:suppressLineNumbers w:val="0"/>
        <w:spacing w:before="0" w:beforeAutospacing="0" w:after="150" w:afterAutospacing="0"/>
        <w:ind w:left="0" w:right="0"/>
      </w:pPr>
      <w:r>
        <w:rPr>
          <w:rStyle w:val="6"/>
          <w:rFonts w:hint="eastAsia" w:ascii="宋体" w:hAnsi="宋体" w:eastAsia="宋体" w:cs="宋体"/>
          <w:b/>
          <w:bCs/>
          <w:i w:val="0"/>
          <w:iCs w:val="0"/>
          <w:caps w:val="0"/>
          <w:color w:val="333333"/>
          <w:spacing w:val="0"/>
          <w:sz w:val="30"/>
          <w:szCs w:val="30"/>
        </w:rPr>
        <w:t>欺诈骗保</w:t>
      </w:r>
    </w:p>
    <w:p w14:paraId="52DD80F6">
      <w:pPr>
        <w:pStyle w:val="3"/>
        <w:keepNext w:val="0"/>
        <w:keepLines w:val="0"/>
        <w:widowControl/>
        <w:suppressLineNumbers w:val="0"/>
        <w:spacing w:before="0" w:beforeAutospacing="0" w:after="150" w:afterAutospacing="0"/>
        <w:ind w:left="0" w:right="0"/>
      </w:pPr>
      <w:r>
        <w:rPr>
          <w:rFonts w:hint="eastAsia" w:ascii="微软雅黑" w:hAnsi="微软雅黑" w:eastAsia="微软雅黑" w:cs="微软雅黑"/>
          <w:i w:val="0"/>
          <w:iCs w:val="0"/>
          <w:caps w:val="0"/>
          <w:color w:val="333333"/>
          <w:spacing w:val="0"/>
          <w:sz w:val="21"/>
          <w:szCs w:val="21"/>
        </w:rPr>
        <w:drawing>
          <wp:inline distT="0" distB="0" distL="114300" distR="114300">
            <wp:extent cx="4330700" cy="3213735"/>
            <wp:effectExtent l="0" t="0" r="12700" b="5715"/>
            <wp:docPr id="4" name="图片 14" descr="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 descr="12.png"/>
                    <pic:cNvPicPr>
                      <a:picLocks noChangeAspect="1"/>
                    </pic:cNvPicPr>
                  </pic:nvPicPr>
                  <pic:blipFill>
                    <a:blip r:embed="rId6"/>
                    <a:stretch>
                      <a:fillRect/>
                    </a:stretch>
                  </pic:blipFill>
                  <pic:spPr>
                    <a:xfrm>
                      <a:off x="0" y="0"/>
                      <a:ext cx="4330700" cy="321373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sz w:val="21"/>
          <w:szCs w:val="21"/>
        </w:rPr>
        <w:drawing>
          <wp:inline distT="0" distB="0" distL="114300" distR="114300">
            <wp:extent cx="4305300" cy="3101975"/>
            <wp:effectExtent l="0" t="0" r="0" b="3175"/>
            <wp:docPr id="11" name="图片 15" descr="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 descr="13.png"/>
                    <pic:cNvPicPr>
                      <a:picLocks noChangeAspect="1"/>
                    </pic:cNvPicPr>
                  </pic:nvPicPr>
                  <pic:blipFill>
                    <a:blip r:embed="rId7"/>
                    <a:stretch>
                      <a:fillRect/>
                    </a:stretch>
                  </pic:blipFill>
                  <pic:spPr>
                    <a:xfrm>
                      <a:off x="0" y="0"/>
                      <a:ext cx="4305300" cy="3101975"/>
                    </a:xfrm>
                    <a:prstGeom prst="rect">
                      <a:avLst/>
                    </a:prstGeom>
                    <a:noFill/>
                    <a:ln w="9525">
                      <a:noFill/>
                    </a:ln>
                  </pic:spPr>
                </pic:pic>
              </a:graphicData>
            </a:graphic>
          </wp:inline>
        </w:drawing>
      </w:r>
    </w:p>
    <w:p w14:paraId="14A1A1D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7134B"/>
    <w:rsid w:val="077B07AF"/>
    <w:rsid w:val="092A3B84"/>
    <w:rsid w:val="0CB101E9"/>
    <w:rsid w:val="0E412690"/>
    <w:rsid w:val="10E72312"/>
    <w:rsid w:val="14D40957"/>
    <w:rsid w:val="17A76FCB"/>
    <w:rsid w:val="18ED280C"/>
    <w:rsid w:val="1B671B95"/>
    <w:rsid w:val="4BCC44DC"/>
    <w:rsid w:val="633279EE"/>
    <w:rsid w:val="68BC0DCC"/>
    <w:rsid w:val="694D0A0B"/>
    <w:rsid w:val="6E6E5C69"/>
    <w:rsid w:val="737C383D"/>
    <w:rsid w:val="744C0277"/>
    <w:rsid w:val="77B55828"/>
    <w:rsid w:val="7C3E63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4440</Words>
  <Characters>4605</Characters>
  <Lines>0</Lines>
  <Paragraphs>0</Paragraphs>
  <TotalTime>15</TotalTime>
  <ScaleCrop>false</ScaleCrop>
  <LinksUpToDate>false</LinksUpToDate>
  <CharactersWithSpaces>4630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2026-07-20T00:31:00Z</dcterms:created>
  <dc:creator>WIN</dc:creator>
  <cp:lastModifiedBy>Ma  Cherie</cp:lastModifiedBy>
  <dcterms:modified xsi:type="dcterms:W3CDTF">2026-07-27T12:46:09Z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eyJoZGlkIjoiY2ZiNmZhMThjNDBjMmRlODNlNzEzMDIwYjViZWJiODMiLCJ1c2VySWQiOiI4MDA3MzUzOTAifQ==</vt:lpwstr>
  </property>
  <property fmtid="{D5CDD505-2E9C-101B-9397-08002B2CF9AE}" pid="4" name="ICV">
    <vt:lpwstr>FCFC6751226740D9BFFBF29F683CB2B9_12</vt:lpwstr>
  </property>
</Properties>
</file>