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80A53">
      <w:pPr>
        <w:jc w:val="center"/>
        <w:rPr>
          <w:rFonts w:hint="eastAsia" w:ascii="宋体" w:hAnsi="宋体" w:eastAsia="宋体" w:cs="宋体"/>
          <w:b/>
          <w:bCs/>
          <w:i w:val="0"/>
          <w:iCs w:val="0"/>
          <w:color w:val="000000"/>
          <w:kern w:val="0"/>
          <w:sz w:val="36"/>
          <w:szCs w:val="36"/>
          <w:u w:val="none"/>
          <w:lang w:val="en-US" w:eastAsia="zh-CN" w:bidi="ar"/>
        </w:rPr>
      </w:pPr>
      <w:r>
        <w:rPr>
          <w:sz w:val="36"/>
        </w:rPr>
        <mc:AlternateContent>
          <mc:Choice Requires="wps">
            <w:drawing>
              <wp:anchor distT="0" distB="0" distL="114300" distR="114300" simplePos="0" relativeHeight="251659264" behindDoc="0" locked="0" layoutInCell="1" allowOverlap="1">
                <wp:simplePos x="0" y="0"/>
                <wp:positionH relativeFrom="column">
                  <wp:posOffset>-653415</wp:posOffset>
                </wp:positionH>
                <wp:positionV relativeFrom="paragraph">
                  <wp:posOffset>-551180</wp:posOffset>
                </wp:positionV>
                <wp:extent cx="819150" cy="400050"/>
                <wp:effectExtent l="0" t="0" r="0" b="0"/>
                <wp:wrapNone/>
                <wp:docPr id="1" name="文本框 1"/>
                <wp:cNvGraphicFramePr/>
                <a:graphic xmlns:a="http://schemas.openxmlformats.org/drawingml/2006/main">
                  <a:graphicData uri="http://schemas.microsoft.com/office/word/2010/wordprocessingShape">
                    <wps:wsp>
                      <wps:cNvSpPr txBox="1"/>
                      <wps:spPr>
                        <a:xfrm>
                          <a:off x="499110" y="277495"/>
                          <a:ext cx="819150" cy="400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F06C77">
                            <w:pPr>
                              <w:rPr>
                                <w:rFonts w:hint="eastAsia" w:ascii="宋体" w:hAnsi="宋体" w:eastAsia="宋体" w:cs="宋体"/>
                                <w:b/>
                                <w:bCs/>
                                <w:lang w:val="en-US" w:eastAsia="zh-CN"/>
                              </w:rPr>
                            </w:pPr>
                            <w:r>
                              <w:rPr>
                                <w:rFonts w:hint="eastAsia" w:ascii="宋体" w:hAnsi="宋体" w:eastAsia="宋体" w:cs="宋体"/>
                                <w:b/>
                                <w:bCs/>
                                <w:lang w:eastAsia="zh-CN"/>
                              </w:rPr>
                              <w:t>附件</w:t>
                            </w:r>
                            <w:r>
                              <w:rPr>
                                <w:rFonts w:hint="eastAsia" w:ascii="宋体" w:hAnsi="宋体" w:eastAsia="宋体" w:cs="宋体"/>
                                <w:b/>
                                <w:bCs/>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45pt;margin-top:-43.4pt;height:31.5pt;width:64.5pt;z-index:251659264;mso-width-relative:page;mso-height-relative:page;" fillcolor="#FFFFFF [3201]" filled="t" stroked="f" coordsize="21600,21600" o:gfxdata="UEsDBAoAAAAAAIdO4kAAAAAAAAAAAAAAAAAEAAAAZHJzL1BLAwQUAAAACACHTuJAHiFAitYAAAAL&#10;AQAADwAAAGRycy9kb3ducmV2LnhtbE2PzU7DMBCE70i8g7VI3FrbAUVpiNMDElck2tKzG5s4wl5H&#10;tvv79CwnuO3ujGa/6daX4NnJpjxFVCCXApjFIZoJRwW77duiAZaLRqN9RKvgajOs+/u7TrcmnvHD&#10;njZlZBSCudUKXClzy3kenA06L+NskbSvmIIutKaRm6TPFB48r4SoedAT0genZ/vq7PC9OQYF+zHc&#10;9p9yTs4E/4zvt+t2FyelHh+keAFW7KX8meEXn9ChJ6ZDPKLJzCtYSFGtyEtTU1MJslS1BHagQ/XU&#10;AO87/r9D/wNQSwMEFAAAAAgAh07iQFetrIhWAgAAmAQAAA4AAABkcnMvZTJvRG9jLnhtbK1UwW7b&#10;MAy9D9g/CLovtrOkbYI6RdYiw4BiLZANOyuyHAuQRE1SYncfsP3BTrvsvu/Kd4ySnbbrduhhOTiU&#10;SD/yPZI+v+i0InvhvART0mKUUyIMh0qabUk/fli9OqPEB2YqpsCIkt4JTy8WL1+ct3YuxtCAqoQj&#10;CGL8vLUlbUKw8yzzvBGa+RFYYdBZg9Ms4NFts8qxFtG1ysZ5fpK14CrrgAvv8faqd9IB0T0HEOpa&#10;cnEFfKeFCT2qE4oFpOQbaT1dpGrrWvBwU9deBKJKikxDemIStDfxmS3O2XzrmG0kH0pgzynhCSfN&#10;pMGk91BXLDCyc/IvKC25Aw91GHHQWU8kKYIsivyJNuuGWZG4oNTe3ovu/x8sf7+/dURWOAmUGKax&#10;4Yfv3w4/fh1+fiVFlKe1fo5Ra4txoXsDXQwd7j1eRtZd7XT8Rz4E/ZPZrChQ4buSjk9PJ7NpL7Po&#10;AuHoPitmxRTdHP2TPM/RRrzsAcY6H94K0CQaJXXYxSQu21/70IceQ2JWD0pWK6lUOrjt5lI5smfY&#10;8VX6Deh/hClD2pKevMbc8S0D8f0eWhksJrLu2UUrdJtuoLyB6g6VcNCPkrd8JbHKa+bDLXM4O0gM&#10;tyvc4KNWgElgsChpwH35132Mx5ail5IWZ7Gk/vOOOUGJemew2bNiMkHYkA6T6ekYD+6xZ/PYY3b6&#10;EpA8NhSrS2aMD+po1g70J1zCZcyKLmY45i5pOJqXod8QXGIulssUhONqWbg2a8sjdC/acheglqkl&#10;UaZem0E9HNjU1GG54kY8Pqeohw/K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eIUCK1gAAAAsB&#10;AAAPAAAAAAAAAAEAIAAAACIAAABkcnMvZG93bnJldi54bWxQSwECFAAUAAAACACHTuJAV62siFYC&#10;AACYBAAADgAAAAAAAAABACAAAAAlAQAAZHJzL2Uyb0RvYy54bWxQSwUGAAAAAAYABgBZAQAA7QUA&#10;AAAA&#10;">
                <v:fill on="t" focussize="0,0"/>
                <v:stroke on="f" weight="0.5pt"/>
                <v:imagedata o:title=""/>
                <o:lock v:ext="edit" aspectratio="f"/>
                <v:textbox>
                  <w:txbxContent>
                    <w:p w14:paraId="5BF06C77">
                      <w:pPr>
                        <w:rPr>
                          <w:rFonts w:hint="eastAsia" w:ascii="宋体" w:hAnsi="宋体" w:eastAsia="宋体" w:cs="宋体"/>
                          <w:b/>
                          <w:bCs/>
                          <w:lang w:val="en-US" w:eastAsia="zh-CN"/>
                        </w:rPr>
                      </w:pPr>
                      <w:r>
                        <w:rPr>
                          <w:rFonts w:hint="eastAsia" w:ascii="宋体" w:hAnsi="宋体" w:eastAsia="宋体" w:cs="宋体"/>
                          <w:b/>
                          <w:bCs/>
                          <w:lang w:eastAsia="zh-CN"/>
                        </w:rPr>
                        <w:t>附件</w:t>
                      </w:r>
                      <w:r>
                        <w:rPr>
                          <w:rFonts w:hint="eastAsia" w:ascii="宋体" w:hAnsi="宋体" w:eastAsia="宋体" w:cs="宋体"/>
                          <w:b/>
                          <w:bCs/>
                          <w:lang w:val="en-US" w:eastAsia="zh-CN"/>
                        </w:rPr>
                        <w:t>1</w:t>
                      </w:r>
                    </w:p>
                  </w:txbxContent>
                </v:textbox>
              </v:shape>
            </w:pict>
          </mc:Fallback>
        </mc:AlternateContent>
      </w:r>
      <w:r>
        <w:rPr>
          <w:rFonts w:hint="eastAsia" w:ascii="宋体" w:hAnsi="宋体" w:eastAsia="宋体" w:cs="宋体"/>
          <w:b/>
          <w:bCs/>
          <w:i w:val="0"/>
          <w:iCs w:val="0"/>
          <w:color w:val="000000"/>
          <w:kern w:val="0"/>
          <w:sz w:val="36"/>
          <w:szCs w:val="36"/>
          <w:u w:val="none"/>
          <w:lang w:val="en-US" w:eastAsia="zh-CN" w:bidi="ar"/>
        </w:rPr>
        <w:t>参数及要求</w:t>
      </w:r>
    </w:p>
    <w:p w14:paraId="313D1D6A">
      <w:pPr>
        <w:pStyle w:val="4"/>
        <w:spacing w:after="0" w:line="360" w:lineRule="auto"/>
        <w:jc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b/>
          <w:bCs/>
          <w:sz w:val="32"/>
          <w:szCs w:val="32"/>
          <w:shd w:val="clear" w:color="auto" w:fill="FFFFFF" w:themeFill="background1"/>
          <w:lang w:val="en-US" w:eastAsia="zh-CN"/>
        </w:rPr>
        <w:t>1</w:t>
      </w:r>
      <w:r>
        <w:rPr>
          <w:rFonts w:hint="eastAsia" w:ascii="宋体" w:hAnsi="宋体"/>
          <w:b/>
          <w:bCs/>
          <w:sz w:val="32"/>
          <w:szCs w:val="32"/>
          <w:shd w:val="clear" w:color="auto" w:fill="FFFFFF" w:themeFill="background1"/>
        </w:rPr>
        <w:t>包</w:t>
      </w:r>
      <w:r>
        <w:rPr>
          <w:rFonts w:hint="eastAsia" w:ascii="宋体" w:hAnsi="宋体" w:eastAsia="宋体" w:cs="宋体"/>
          <w:b/>
          <w:bCs/>
          <w:i w:val="0"/>
          <w:iCs w:val="0"/>
          <w:color w:val="000000"/>
          <w:kern w:val="0"/>
          <w:sz w:val="36"/>
          <w:szCs w:val="36"/>
          <w:u w:val="none"/>
          <w:lang w:val="en-US" w:eastAsia="zh-CN" w:bidi="ar"/>
        </w:rPr>
        <w:t>：电动病床</w:t>
      </w:r>
    </w:p>
    <w:p w14:paraId="1D67D0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一、参数及要求：</w:t>
      </w:r>
    </w:p>
    <w:p w14:paraId="3E0482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外形尺寸：长213</w:t>
      </w:r>
      <w:r>
        <w:rPr>
          <w:rFonts w:hint="eastAsia" w:ascii="宋体" w:hAnsi="宋体" w:cs="宋体"/>
          <w:sz w:val="24"/>
          <w:szCs w:val="24"/>
          <w:lang w:val="en-US" w:eastAsia="zh-CN"/>
        </w:rPr>
        <w:t>0</w:t>
      </w:r>
      <w:r>
        <w:rPr>
          <w:rFonts w:hint="eastAsia" w:ascii="宋体" w:hAnsi="宋体" w:eastAsia="宋体" w:cs="宋体"/>
          <w:sz w:val="24"/>
          <w:szCs w:val="24"/>
        </w:rPr>
        <w:t>mm*宽1200mm*高1160mm（±50mm）。</w:t>
      </w:r>
    </w:p>
    <w:p w14:paraId="0EA1A0DD">
      <w:pPr>
        <w:keepNext w:val="0"/>
        <w:keepLines w:val="0"/>
        <w:pageBreakBefore w:val="0"/>
        <w:widowControl w:val="0"/>
        <w:kinsoku/>
        <w:wordWrap/>
        <w:overflowPunct/>
        <w:topLinePunct w:val="0"/>
        <w:autoSpaceDE/>
        <w:autoSpaceDN/>
        <w:bidi w:val="0"/>
        <w:adjustRightInd/>
        <w:snapToGrid/>
        <w:spacing w:line="360" w:lineRule="auto"/>
        <w:ind w:left="-1"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床头和床尾架及侧板采用指接实木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床头带包皮，</w:t>
      </w:r>
      <w:r>
        <w:rPr>
          <w:rFonts w:hint="eastAsia" w:ascii="宋体" w:hAnsi="宋体" w:eastAsia="宋体" w:cs="宋体"/>
          <w:sz w:val="24"/>
          <w:szCs w:val="24"/>
        </w:rPr>
        <w:t>可插拔，颜色</w:t>
      </w:r>
      <w:r>
        <w:rPr>
          <w:rFonts w:hint="eastAsia" w:ascii="宋体" w:hAnsi="宋体" w:eastAsia="宋体" w:cs="宋体"/>
          <w:sz w:val="24"/>
          <w:szCs w:val="24"/>
          <w:lang w:val="en-US" w:eastAsia="zh-CN"/>
        </w:rPr>
        <w:t>可选</w:t>
      </w:r>
      <w:r>
        <w:rPr>
          <w:rFonts w:hint="eastAsia" w:ascii="宋体" w:hAnsi="宋体" w:eastAsia="宋体" w:cs="宋体"/>
          <w:sz w:val="24"/>
          <w:szCs w:val="24"/>
          <w:lang w:eastAsia="zh-CN"/>
        </w:rPr>
        <w:t>。</w:t>
      </w:r>
    </w:p>
    <w:p w14:paraId="3CDFE776">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3、电控系统：</w:t>
      </w:r>
    </w:p>
    <w:p w14:paraId="79F9848E">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采用国产电机；</w:t>
      </w:r>
    </w:p>
    <w:p w14:paraId="70C541CD">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配蓄电池；</w:t>
      </w:r>
    </w:p>
    <w:p w14:paraId="4C07B6FB">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（3）电动功能</w:t>
      </w:r>
      <w:r>
        <w:rPr>
          <w:rFonts w:hint="eastAsia" w:ascii="宋体" w:hAnsi="宋体" w:cs="宋体"/>
          <w:sz w:val="24"/>
          <w:szCs w:val="24"/>
          <w:lang w:val="en-US" w:eastAsia="zh-CN"/>
        </w:rPr>
        <w:t>：</w:t>
      </w:r>
      <w:r>
        <w:rPr>
          <w:rFonts w:hint="eastAsia" w:ascii="宋体" w:hAnsi="宋体" w:eastAsia="宋体" w:cs="宋体"/>
          <w:sz w:val="24"/>
          <w:szCs w:val="24"/>
        </w:rPr>
        <w:t>背板升降</w:t>
      </w:r>
      <w:r>
        <w:rPr>
          <w:rFonts w:hint="eastAsia" w:ascii="宋体" w:hAnsi="宋体" w:cs="宋体"/>
          <w:sz w:val="24"/>
          <w:szCs w:val="24"/>
          <w:lang w:val="en-US" w:eastAsia="zh-CN"/>
        </w:rPr>
        <w:t>范围≥</w:t>
      </w:r>
      <w:r>
        <w:rPr>
          <w:rFonts w:hint="eastAsia" w:ascii="宋体" w:hAnsi="宋体" w:eastAsia="宋体" w:cs="宋体"/>
          <w:sz w:val="24"/>
          <w:szCs w:val="24"/>
        </w:rPr>
        <w:t>0°</w:t>
      </w:r>
      <w:r>
        <w:rPr>
          <w:rFonts w:hint="eastAsia" w:ascii="宋体" w:hAnsi="宋体" w:cs="宋体"/>
          <w:sz w:val="24"/>
          <w:szCs w:val="24"/>
          <w:lang w:val="en-US" w:eastAsia="zh-CN"/>
        </w:rPr>
        <w:t>~</w:t>
      </w:r>
      <w:r>
        <w:rPr>
          <w:rFonts w:hint="eastAsia" w:ascii="宋体" w:hAnsi="宋体" w:eastAsia="宋体" w:cs="宋体"/>
          <w:sz w:val="24"/>
          <w:szCs w:val="24"/>
        </w:rPr>
        <w:t>75°，腿板升降升降</w:t>
      </w:r>
      <w:r>
        <w:rPr>
          <w:rFonts w:hint="eastAsia" w:ascii="宋体" w:hAnsi="宋体" w:cs="宋体"/>
          <w:sz w:val="24"/>
          <w:szCs w:val="24"/>
          <w:lang w:val="en-US" w:eastAsia="zh-CN"/>
        </w:rPr>
        <w:t>范围≥</w:t>
      </w:r>
      <w:r>
        <w:rPr>
          <w:rFonts w:hint="eastAsia" w:ascii="宋体" w:hAnsi="宋体" w:eastAsia="宋体" w:cs="宋体"/>
          <w:sz w:val="24"/>
          <w:szCs w:val="24"/>
        </w:rPr>
        <w:t>0°</w:t>
      </w:r>
      <w:r>
        <w:rPr>
          <w:rFonts w:hint="eastAsia" w:ascii="宋体" w:hAnsi="宋体" w:cs="宋体"/>
          <w:sz w:val="24"/>
          <w:szCs w:val="24"/>
          <w:lang w:val="en-US" w:eastAsia="zh-CN"/>
        </w:rPr>
        <w:t>~</w:t>
      </w:r>
      <w:r>
        <w:rPr>
          <w:rFonts w:hint="eastAsia" w:ascii="宋体" w:hAnsi="宋体" w:eastAsia="宋体" w:cs="宋体"/>
          <w:sz w:val="24"/>
          <w:szCs w:val="24"/>
        </w:rPr>
        <w:t>35°</w:t>
      </w:r>
      <w:r>
        <w:rPr>
          <w:rFonts w:hint="eastAsia" w:ascii="宋体" w:hAnsi="宋体" w:eastAsia="宋体" w:cs="宋体"/>
          <w:sz w:val="24"/>
          <w:szCs w:val="24"/>
          <w:lang w:eastAsia="zh-CN"/>
        </w:rPr>
        <w:t>；</w:t>
      </w:r>
    </w:p>
    <w:p w14:paraId="279EAEEB">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手控板使用无线遥控</w:t>
      </w:r>
      <w:r>
        <w:rPr>
          <w:rFonts w:hint="eastAsia" w:ascii="宋体" w:hAnsi="宋体" w:eastAsia="宋体" w:cs="宋体"/>
          <w:sz w:val="24"/>
          <w:szCs w:val="24"/>
          <w:lang w:val="en-US" w:eastAsia="zh-CN"/>
        </w:rPr>
        <w:t>；</w:t>
      </w:r>
    </w:p>
    <w:p w14:paraId="748718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电机最大工作噪声≤</w:t>
      </w:r>
      <w:r>
        <w:rPr>
          <w:rFonts w:hint="eastAsia" w:ascii="宋体" w:hAnsi="宋体" w:eastAsia="宋体" w:cs="宋体"/>
          <w:sz w:val="24"/>
          <w:szCs w:val="24"/>
          <w:lang w:val="en-US" w:eastAsia="zh-CN"/>
        </w:rPr>
        <w:t>45dB</w:t>
      </w:r>
      <w:r>
        <w:rPr>
          <w:rFonts w:hint="eastAsia" w:ascii="宋体" w:hAnsi="宋体" w:eastAsia="宋体" w:cs="宋体"/>
          <w:sz w:val="24"/>
          <w:szCs w:val="24"/>
        </w:rPr>
        <w:t>。</w:t>
      </w:r>
      <w:r>
        <w:rPr>
          <w:rFonts w:hint="eastAsia" w:ascii="宋体" w:hAnsi="宋体" w:cs="宋体"/>
          <w:sz w:val="24"/>
          <w:szCs w:val="24"/>
          <w:lang w:val="en-US" w:eastAsia="zh-CN"/>
        </w:rPr>
        <w:t>（提供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3E30C7F0">
      <w:pPr>
        <w:keepNext w:val="0"/>
        <w:keepLines w:val="0"/>
        <w:pageBreakBefore w:val="0"/>
        <w:widowControl w:val="0"/>
        <w:kinsoku/>
        <w:wordWrap/>
        <w:overflowPunct/>
        <w:topLinePunct w:val="0"/>
        <w:autoSpaceDE/>
        <w:autoSpaceDN/>
        <w:bidi w:val="0"/>
        <w:adjustRightInd/>
        <w:snapToGrid/>
        <w:spacing w:line="360" w:lineRule="auto"/>
        <w:ind w:left="-1"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电机防护等级</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IPX4</w:t>
      </w:r>
      <w:r>
        <w:rPr>
          <w:rFonts w:hint="eastAsia" w:ascii="宋体" w:hAnsi="宋体" w:eastAsia="宋体" w:cs="宋体"/>
          <w:sz w:val="24"/>
          <w:szCs w:val="24"/>
        </w:rPr>
        <w:t>。</w:t>
      </w:r>
    </w:p>
    <w:p w14:paraId="3A5377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不带脚轮。</w:t>
      </w:r>
    </w:p>
    <w:p w14:paraId="44CF0224">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床框两侧各</w:t>
      </w:r>
      <w:r>
        <w:rPr>
          <w:rFonts w:hint="eastAsia" w:ascii="宋体" w:hAnsi="宋体" w:eastAsia="宋体" w:cs="宋体"/>
          <w:sz w:val="24"/>
          <w:szCs w:val="24"/>
          <w:lang w:val="en-US" w:eastAsia="zh-CN"/>
        </w:rPr>
        <w:t>配≥</w:t>
      </w:r>
      <w:r>
        <w:rPr>
          <w:rFonts w:hint="eastAsia" w:ascii="宋体" w:hAnsi="宋体" w:eastAsia="宋体" w:cs="宋体"/>
          <w:sz w:val="24"/>
          <w:szCs w:val="24"/>
        </w:rPr>
        <w:t>3个输液杆插孔。</w:t>
      </w:r>
    </w:p>
    <w:p w14:paraId="58D581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0000FF"/>
          <w:sz w:val="24"/>
          <w:szCs w:val="24"/>
          <w:lang w:eastAsia="zh-CN"/>
        </w:rPr>
      </w:pP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床体动态载重性能：</w:t>
      </w:r>
      <w:r>
        <w:rPr>
          <w:rFonts w:hint="eastAsia" w:ascii="宋体" w:hAnsi="宋体" w:eastAsia="宋体" w:cs="宋体"/>
          <w:sz w:val="24"/>
          <w:szCs w:val="24"/>
        </w:rPr>
        <w:t>床</w:t>
      </w:r>
      <w:r>
        <w:rPr>
          <w:rFonts w:hint="eastAsia" w:ascii="宋体" w:hAnsi="宋体" w:eastAsia="宋体" w:cs="宋体"/>
          <w:sz w:val="24"/>
          <w:szCs w:val="24"/>
          <w:lang w:eastAsia="zh-CN"/>
        </w:rPr>
        <w:t>体</w:t>
      </w:r>
      <w:r>
        <w:rPr>
          <w:rFonts w:hint="eastAsia" w:ascii="宋体" w:hAnsi="宋体" w:eastAsia="宋体" w:cs="宋体"/>
          <w:sz w:val="24"/>
          <w:szCs w:val="24"/>
        </w:rPr>
        <w:t>均布≥</w:t>
      </w:r>
      <w:r>
        <w:rPr>
          <w:rFonts w:hint="eastAsia" w:ascii="宋体" w:hAnsi="宋体" w:eastAsia="宋体" w:cs="宋体"/>
          <w:sz w:val="24"/>
          <w:szCs w:val="24"/>
          <w:lang w:val="en-US" w:eastAsia="zh-CN"/>
        </w:rPr>
        <w:t>30</w:t>
      </w:r>
      <w:r>
        <w:rPr>
          <w:rFonts w:hint="eastAsia" w:ascii="宋体" w:hAnsi="宋体" w:eastAsia="宋体" w:cs="宋体"/>
          <w:sz w:val="24"/>
          <w:szCs w:val="24"/>
        </w:rPr>
        <w:t>0kg的安全工作载荷后应能顺利动作，各部位无异常现象。</w:t>
      </w:r>
      <w:r>
        <w:rPr>
          <w:rFonts w:hint="eastAsia" w:ascii="宋体" w:hAnsi="宋体" w:cs="宋体"/>
          <w:sz w:val="24"/>
          <w:szCs w:val="24"/>
          <w:lang w:val="en-US" w:eastAsia="zh-CN"/>
        </w:rPr>
        <w:t>（提供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208FCD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床体静态载重性能：</w:t>
      </w:r>
      <w:r>
        <w:rPr>
          <w:rFonts w:hint="eastAsia" w:ascii="宋体" w:hAnsi="宋体" w:eastAsia="宋体" w:cs="宋体"/>
          <w:sz w:val="24"/>
          <w:szCs w:val="24"/>
        </w:rPr>
        <w:t>床</w:t>
      </w:r>
      <w:r>
        <w:rPr>
          <w:rFonts w:hint="eastAsia" w:ascii="宋体" w:hAnsi="宋体" w:eastAsia="宋体" w:cs="宋体"/>
          <w:sz w:val="24"/>
          <w:szCs w:val="24"/>
          <w:lang w:eastAsia="zh-CN"/>
        </w:rPr>
        <w:t>体</w:t>
      </w:r>
      <w:r>
        <w:rPr>
          <w:rFonts w:hint="eastAsia" w:ascii="宋体" w:hAnsi="宋体" w:eastAsia="宋体" w:cs="宋体"/>
          <w:sz w:val="24"/>
          <w:szCs w:val="24"/>
        </w:rPr>
        <w:t>承载≥</w:t>
      </w:r>
      <w:r>
        <w:rPr>
          <w:rFonts w:hint="eastAsia" w:ascii="宋体" w:hAnsi="宋体" w:eastAsia="宋体" w:cs="宋体"/>
          <w:sz w:val="24"/>
          <w:szCs w:val="24"/>
          <w:lang w:val="en-US" w:eastAsia="zh-CN"/>
        </w:rPr>
        <w:t>6</w:t>
      </w:r>
      <w:r>
        <w:rPr>
          <w:rFonts w:hint="eastAsia" w:ascii="宋体" w:hAnsi="宋体" w:eastAsia="宋体" w:cs="宋体"/>
          <w:sz w:val="24"/>
          <w:szCs w:val="24"/>
        </w:rPr>
        <w:t>00kg载荷历时</w:t>
      </w:r>
      <w:r>
        <w:rPr>
          <w:rFonts w:hint="eastAsia" w:ascii="宋体" w:hAnsi="宋体" w:eastAsia="宋体" w:cs="宋体"/>
          <w:sz w:val="24"/>
          <w:szCs w:val="24"/>
          <w:lang w:val="en-US" w:eastAsia="zh-CN"/>
        </w:rPr>
        <w:t>24</w:t>
      </w:r>
      <w:r>
        <w:rPr>
          <w:rFonts w:hint="eastAsia" w:ascii="宋体" w:hAnsi="宋体" w:eastAsia="宋体" w:cs="宋体"/>
          <w:sz w:val="24"/>
          <w:szCs w:val="24"/>
        </w:rPr>
        <w:t>h，卸载后各部位应无永久性变形现象。</w:t>
      </w:r>
      <w:r>
        <w:rPr>
          <w:rFonts w:hint="eastAsia" w:ascii="宋体" w:hAnsi="宋体" w:cs="宋体"/>
          <w:sz w:val="24"/>
          <w:szCs w:val="24"/>
          <w:lang w:val="en-US" w:eastAsia="zh-CN"/>
        </w:rPr>
        <w:t>（提供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43C39D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8</w:t>
      </w:r>
      <w:r>
        <w:rPr>
          <w:rFonts w:hint="eastAsia" w:ascii="宋体" w:hAnsi="宋体" w:eastAsia="宋体" w:cs="宋体"/>
          <w:sz w:val="24"/>
          <w:szCs w:val="24"/>
        </w:rPr>
        <w:t>、粉末通过</w:t>
      </w:r>
      <w:r>
        <w:rPr>
          <w:rFonts w:hint="eastAsia" w:ascii="宋体" w:hAnsi="宋体" w:eastAsia="宋体" w:cs="宋体"/>
          <w:sz w:val="24"/>
          <w:szCs w:val="24"/>
          <w:lang w:val="en-US" w:eastAsia="zh-CN"/>
        </w:rPr>
        <w:t>相关</w:t>
      </w:r>
      <w:r>
        <w:rPr>
          <w:rFonts w:hint="eastAsia" w:ascii="宋体" w:hAnsi="宋体" w:eastAsia="宋体" w:cs="宋体"/>
          <w:sz w:val="24"/>
          <w:szCs w:val="24"/>
        </w:rPr>
        <w:t>检测方法，三种细菌（金黄色葡萄球菌、藤黄微球菌、大肠</w:t>
      </w:r>
      <w:r>
        <w:rPr>
          <w:rFonts w:hint="eastAsia" w:ascii="宋体" w:hAnsi="宋体" w:eastAsia="宋体" w:cs="宋体"/>
          <w:sz w:val="24"/>
          <w:szCs w:val="24"/>
          <w:lang w:val="en-US" w:eastAsia="zh-CN"/>
        </w:rPr>
        <w:t>杆</w:t>
      </w:r>
      <w:r>
        <w:rPr>
          <w:rFonts w:hint="eastAsia" w:ascii="宋体" w:hAnsi="宋体" w:eastAsia="宋体" w:cs="宋体"/>
          <w:sz w:val="24"/>
          <w:szCs w:val="24"/>
        </w:rPr>
        <w:t>菌）抗菌率均≥99%。</w:t>
      </w:r>
      <w:r>
        <w:rPr>
          <w:rFonts w:hint="eastAsia" w:ascii="宋体" w:hAnsi="宋体" w:cs="宋体"/>
          <w:sz w:val="24"/>
          <w:szCs w:val="24"/>
          <w:lang w:val="en-US" w:eastAsia="zh-CN"/>
        </w:rPr>
        <w:t>（提供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5497B1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9</w:t>
      </w:r>
      <w:r>
        <w:rPr>
          <w:rFonts w:hint="eastAsia" w:ascii="宋体" w:hAnsi="宋体" w:eastAsia="宋体" w:cs="宋体"/>
          <w:sz w:val="24"/>
          <w:szCs w:val="24"/>
        </w:rPr>
        <w:t>、电泳涂层不含镉、铅、汞、六价铬</w:t>
      </w:r>
      <w:r>
        <w:rPr>
          <w:rFonts w:hint="eastAsia" w:ascii="宋体" w:hAnsi="宋体" w:cs="宋体"/>
          <w:sz w:val="24"/>
          <w:szCs w:val="24"/>
          <w:lang w:val="en-US" w:eastAsia="zh-CN"/>
        </w:rPr>
        <w:t>等</w:t>
      </w:r>
      <w:r>
        <w:rPr>
          <w:rFonts w:hint="eastAsia" w:ascii="宋体" w:hAnsi="宋体" w:eastAsia="宋体" w:cs="宋体"/>
          <w:sz w:val="24"/>
          <w:szCs w:val="24"/>
        </w:rPr>
        <w:t>重金属。</w:t>
      </w:r>
      <w:r>
        <w:rPr>
          <w:rFonts w:hint="eastAsia" w:ascii="宋体" w:hAnsi="宋体" w:cs="宋体"/>
          <w:sz w:val="24"/>
          <w:szCs w:val="24"/>
          <w:lang w:val="en-US" w:eastAsia="zh-CN"/>
        </w:rPr>
        <w:t>（提供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5EE52D5B">
      <w:pPr>
        <w:keepNext w:val="0"/>
        <w:keepLines w:val="0"/>
        <w:pageBreakBefore w:val="0"/>
        <w:widowControl w:val="0"/>
        <w:kinsoku/>
        <w:wordWrap/>
        <w:overflowPunct/>
        <w:topLinePunct w:val="0"/>
        <w:autoSpaceDE/>
        <w:autoSpaceDN/>
        <w:bidi w:val="0"/>
        <w:adjustRightInd/>
        <w:snapToGrid/>
        <w:spacing w:line="360" w:lineRule="auto"/>
        <w:ind w:left="280" w:hanging="240" w:hangingChars="1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二</w:t>
      </w:r>
      <w:r>
        <w:rPr>
          <w:rFonts w:hint="eastAsia" w:ascii="宋体" w:hAnsi="宋体" w:eastAsia="宋体" w:cs="宋体"/>
          <w:sz w:val="24"/>
          <w:szCs w:val="24"/>
          <w:lang w:val="en-US" w:eastAsia="zh-CN"/>
        </w:rPr>
        <w:t>、</w:t>
      </w:r>
      <w:r>
        <w:rPr>
          <w:rFonts w:hint="eastAsia" w:ascii="宋体" w:hAnsi="宋体" w:eastAsia="宋体" w:cs="宋体"/>
          <w:sz w:val="24"/>
          <w:szCs w:val="24"/>
        </w:rPr>
        <w:t>床垫</w:t>
      </w:r>
      <w:r>
        <w:rPr>
          <w:rFonts w:hint="eastAsia" w:ascii="宋体" w:hAnsi="宋体" w:eastAsia="宋体" w:cs="宋体"/>
          <w:sz w:val="24"/>
          <w:szCs w:val="24"/>
          <w:lang w:eastAsia="zh-CN"/>
        </w:rPr>
        <w:t>：</w:t>
      </w:r>
    </w:p>
    <w:p w14:paraId="1D28FFD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床垫套</w:t>
      </w:r>
      <w:r>
        <w:rPr>
          <w:rFonts w:hint="eastAsia" w:ascii="宋体" w:hAnsi="宋体" w:eastAsia="宋体" w:cs="宋体"/>
          <w:sz w:val="24"/>
          <w:szCs w:val="24"/>
        </w:rPr>
        <w:t>拉链U型</w:t>
      </w:r>
      <w:r>
        <w:rPr>
          <w:rFonts w:hint="eastAsia" w:ascii="宋体" w:hAnsi="宋体" w:cs="宋体"/>
          <w:sz w:val="24"/>
          <w:szCs w:val="24"/>
          <w:lang w:eastAsia="zh-CN"/>
        </w:rPr>
        <w:t>，</w:t>
      </w:r>
      <w:r>
        <w:rPr>
          <w:rFonts w:hint="eastAsia" w:ascii="宋体" w:hAnsi="宋体" w:cs="宋体"/>
          <w:sz w:val="24"/>
          <w:szCs w:val="24"/>
          <w:lang w:val="en-US" w:eastAsia="zh-CN"/>
        </w:rPr>
        <w:t>颜色可选</w:t>
      </w:r>
      <w:r>
        <w:rPr>
          <w:rFonts w:hint="eastAsia" w:ascii="宋体" w:hAnsi="宋体" w:eastAsia="宋体" w:cs="宋体"/>
          <w:sz w:val="24"/>
          <w:szCs w:val="24"/>
          <w:lang w:eastAsia="zh-CN"/>
        </w:rPr>
        <w:t>；</w:t>
      </w:r>
    </w:p>
    <w:p w14:paraId="4FE5D241">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2、</w:t>
      </w:r>
      <w:r>
        <w:rPr>
          <w:rFonts w:hint="eastAsia" w:ascii="宋体" w:hAnsi="宋体" w:eastAsia="宋体" w:cs="宋体"/>
          <w:sz w:val="24"/>
          <w:szCs w:val="24"/>
        </w:rPr>
        <w:t>内芯:2cm中空纤维+7cm45D高回弹+7cm30D加硬支撑海绵</w:t>
      </w:r>
      <w:r>
        <w:rPr>
          <w:rFonts w:hint="eastAsia" w:ascii="宋体" w:hAnsi="宋体" w:eastAsia="宋体" w:cs="宋体"/>
          <w:sz w:val="24"/>
          <w:szCs w:val="24"/>
          <w:lang w:eastAsia="zh-CN"/>
        </w:rPr>
        <w:t>；</w:t>
      </w:r>
    </w:p>
    <w:p w14:paraId="6387DB4A">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尺寸</w:t>
      </w:r>
      <w:r>
        <w:rPr>
          <w:rFonts w:hint="eastAsia" w:ascii="宋体" w:hAnsi="宋体" w:cs="宋体"/>
          <w:sz w:val="24"/>
          <w:szCs w:val="24"/>
          <w:lang w:val="en-US" w:eastAsia="zh-CN"/>
        </w:rPr>
        <w:t>适</w:t>
      </w:r>
      <w:r>
        <w:rPr>
          <w:rFonts w:hint="eastAsia" w:ascii="宋体" w:hAnsi="宋体" w:eastAsia="宋体" w:cs="宋体"/>
          <w:sz w:val="24"/>
          <w:szCs w:val="24"/>
          <w:lang w:val="en-US" w:eastAsia="zh-CN"/>
        </w:rPr>
        <w:t>配床</w:t>
      </w:r>
      <w:r>
        <w:rPr>
          <w:rFonts w:hint="eastAsia" w:ascii="宋体" w:hAnsi="宋体" w:cs="宋体"/>
          <w:sz w:val="24"/>
          <w:szCs w:val="24"/>
          <w:lang w:val="en-US" w:eastAsia="zh-CN"/>
        </w:rPr>
        <w:t>体</w:t>
      </w:r>
      <w:r>
        <w:rPr>
          <w:rFonts w:hint="eastAsia" w:ascii="宋体" w:hAnsi="宋体" w:eastAsia="宋体" w:cs="宋体"/>
          <w:sz w:val="24"/>
          <w:szCs w:val="24"/>
          <w:lang w:eastAsia="zh-CN"/>
        </w:rPr>
        <w:t>；</w:t>
      </w:r>
    </w:p>
    <w:p w14:paraId="102929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三</w:t>
      </w:r>
      <w:r>
        <w:rPr>
          <w:rFonts w:hint="eastAsia" w:ascii="宋体" w:hAnsi="宋体" w:eastAsia="宋体" w:cs="宋体"/>
          <w:sz w:val="24"/>
          <w:szCs w:val="24"/>
          <w:lang w:val="en-US" w:eastAsia="zh-CN"/>
        </w:rPr>
        <w:t>、单臂餐桌：</w:t>
      </w:r>
    </w:p>
    <w:p w14:paraId="4CA9320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餐桌桌面长度</w:t>
      </w:r>
      <w:r>
        <w:rPr>
          <w:rFonts w:hint="eastAsia" w:ascii="宋体" w:hAnsi="宋体" w:cs="宋体"/>
          <w:color w:val="000000"/>
          <w:sz w:val="24"/>
          <w:szCs w:val="24"/>
          <w:lang w:eastAsia="zh-CN"/>
        </w:rPr>
        <w:t>：</w:t>
      </w:r>
      <w:r>
        <w:rPr>
          <w:rFonts w:hint="eastAsia" w:ascii="宋体" w:hAnsi="宋体" w:eastAsia="宋体" w:cs="宋体"/>
          <w:color w:val="000000"/>
          <w:sz w:val="24"/>
          <w:szCs w:val="24"/>
        </w:rPr>
        <w:t>850mm*450mm</w:t>
      </w:r>
      <w:r>
        <w:rPr>
          <w:rFonts w:hint="eastAsia" w:ascii="宋体" w:hAnsi="宋体" w:eastAsia="宋体" w:cs="宋体"/>
          <w:sz w:val="24"/>
          <w:szCs w:val="24"/>
        </w:rPr>
        <w:t>（±50mm）</w:t>
      </w:r>
      <w:r>
        <w:rPr>
          <w:rFonts w:hint="eastAsia" w:ascii="宋体" w:hAnsi="宋体" w:cs="宋体"/>
          <w:sz w:val="24"/>
          <w:szCs w:val="24"/>
          <w:lang w:eastAsia="zh-CN"/>
        </w:rPr>
        <w:t>，</w:t>
      </w:r>
      <w:r>
        <w:rPr>
          <w:rFonts w:hint="eastAsia" w:ascii="宋体" w:hAnsi="宋体" w:cs="宋体"/>
          <w:sz w:val="24"/>
          <w:szCs w:val="24"/>
          <w:lang w:val="en-US" w:eastAsia="zh-CN"/>
        </w:rPr>
        <w:t>桌面颜色可选</w:t>
      </w:r>
      <w:r>
        <w:rPr>
          <w:rFonts w:hint="eastAsia" w:ascii="宋体" w:hAnsi="宋体" w:eastAsia="宋体" w:cs="宋体"/>
          <w:color w:val="000000"/>
          <w:sz w:val="24"/>
          <w:szCs w:val="24"/>
          <w:lang w:eastAsia="zh-CN"/>
        </w:rPr>
        <w:t>；</w:t>
      </w:r>
    </w:p>
    <w:p w14:paraId="2A3AA8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240" w:firstLineChars="100"/>
        <w:textAlignment w:val="auto"/>
        <w:rPr>
          <w:rFonts w:hint="eastAsia" w:ascii="宋体" w:hAnsi="宋体" w:eastAsia="宋体" w:cs="宋体"/>
          <w:sz w:val="24"/>
          <w:szCs w:val="24"/>
          <w:lang w:eastAsia="zh-CN"/>
        </w:rPr>
      </w:pPr>
      <w:r>
        <w:rPr>
          <w:rFonts w:hint="eastAsia" w:ascii="宋体" w:hAnsi="宋体" w:cs="宋体"/>
          <w:color w:val="000000"/>
          <w:sz w:val="24"/>
          <w:szCs w:val="24"/>
          <w:lang w:val="en-US" w:eastAsia="zh-CN"/>
        </w:rPr>
        <w:t>2、可升降，</w:t>
      </w:r>
      <w:r>
        <w:rPr>
          <w:rFonts w:hint="eastAsia" w:ascii="宋体" w:hAnsi="宋体" w:eastAsia="宋体" w:cs="宋体"/>
          <w:color w:val="000000"/>
          <w:sz w:val="24"/>
          <w:szCs w:val="24"/>
        </w:rPr>
        <w:t>升降高度700mm-990mm</w:t>
      </w:r>
      <w:r>
        <w:rPr>
          <w:rFonts w:hint="eastAsia" w:ascii="宋体" w:hAnsi="宋体" w:eastAsia="宋体" w:cs="宋体"/>
          <w:sz w:val="24"/>
          <w:szCs w:val="24"/>
        </w:rPr>
        <w:t>（±50mm）</w:t>
      </w:r>
      <w:r>
        <w:rPr>
          <w:rFonts w:hint="eastAsia" w:ascii="宋体" w:hAnsi="宋体" w:cs="宋体"/>
          <w:sz w:val="24"/>
          <w:szCs w:val="24"/>
          <w:lang w:eastAsia="zh-CN"/>
        </w:rPr>
        <w:t>，</w:t>
      </w:r>
      <w:r>
        <w:rPr>
          <w:rFonts w:hint="eastAsia" w:ascii="宋体" w:hAnsi="宋体" w:cs="宋体"/>
          <w:sz w:val="24"/>
          <w:szCs w:val="24"/>
          <w:lang w:val="en-US" w:eastAsia="zh-CN"/>
        </w:rPr>
        <w:t>配万向</w:t>
      </w:r>
      <w:r>
        <w:rPr>
          <w:rFonts w:hint="eastAsia" w:ascii="宋体" w:hAnsi="宋体" w:eastAsia="宋体" w:cs="宋体"/>
          <w:color w:val="000000"/>
          <w:sz w:val="24"/>
          <w:szCs w:val="24"/>
        </w:rPr>
        <w:t>轮</w:t>
      </w:r>
      <w:r>
        <w:rPr>
          <w:rFonts w:hint="eastAsia" w:ascii="宋体" w:hAnsi="宋体" w:eastAsia="宋体" w:cs="宋体"/>
          <w:sz w:val="24"/>
          <w:szCs w:val="24"/>
          <w:lang w:eastAsia="zh-CN"/>
        </w:rPr>
        <w:t>；</w:t>
      </w:r>
    </w:p>
    <w:p w14:paraId="163B03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lang w:eastAsia="zh-CN"/>
        </w:rPr>
      </w:pPr>
    </w:p>
    <w:p w14:paraId="45E6B94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四、配置清单：</w:t>
      </w:r>
    </w:p>
    <w:p w14:paraId="608B3A9D">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床体            1张</w:t>
      </w:r>
    </w:p>
    <w:p w14:paraId="09298661">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床垫            1张</w:t>
      </w:r>
    </w:p>
    <w:p w14:paraId="63169A43">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无线遥控器      1个</w:t>
      </w:r>
    </w:p>
    <w:p w14:paraId="4D92A7A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输液杆          1根</w:t>
      </w:r>
    </w:p>
    <w:p w14:paraId="02044A34">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引流钩插杆      1根</w:t>
      </w:r>
    </w:p>
    <w:p w14:paraId="5D1C7936">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床垫挡杆        1个</w:t>
      </w:r>
    </w:p>
    <w:p w14:paraId="0D7E2FB2">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可移动餐桌      1张</w:t>
      </w:r>
    </w:p>
    <w:p w14:paraId="02EB4C9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五、参考图片：</w:t>
      </w:r>
    </w:p>
    <w:p w14:paraId="06356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8"/>
          <w:szCs w:val="28"/>
        </w:rPr>
      </w:pPr>
      <w:r>
        <w:drawing>
          <wp:inline distT="0" distB="0" distL="114300" distR="114300">
            <wp:extent cx="3990975" cy="3048000"/>
            <wp:effectExtent l="0" t="0" r="952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3990975" cy="3048000"/>
                    </a:xfrm>
                    <a:prstGeom prst="rect">
                      <a:avLst/>
                    </a:prstGeom>
                    <a:noFill/>
                    <a:ln>
                      <a:noFill/>
                    </a:ln>
                  </pic:spPr>
                </pic:pic>
              </a:graphicData>
            </a:graphic>
          </wp:inline>
        </w:drawing>
      </w:r>
    </w:p>
    <w:p w14:paraId="4A5C23F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8"/>
          <w:szCs w:val="28"/>
        </w:rPr>
      </w:pPr>
    </w:p>
    <w:p w14:paraId="1FFAED4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8"/>
          <w:szCs w:val="28"/>
        </w:rPr>
      </w:pPr>
    </w:p>
    <w:p w14:paraId="128959BB">
      <w:pPr>
        <w:pStyle w:val="4"/>
        <w:spacing w:after="0" w:line="360" w:lineRule="auto"/>
        <w:jc w:val="center"/>
        <w:rPr>
          <w:rFonts w:hint="eastAsia" w:ascii="宋体" w:hAnsi="宋体"/>
          <w:b/>
          <w:bCs/>
          <w:sz w:val="32"/>
          <w:szCs w:val="32"/>
          <w:shd w:val="clear" w:color="auto" w:fill="FFFFFF" w:themeFill="background1"/>
          <w:lang w:val="en-US" w:eastAsia="zh-CN"/>
        </w:rPr>
      </w:pPr>
    </w:p>
    <w:p w14:paraId="11694656">
      <w:pPr>
        <w:pStyle w:val="4"/>
        <w:spacing w:after="0" w:line="360" w:lineRule="auto"/>
        <w:jc w:val="center"/>
        <w:rPr>
          <w:rFonts w:hint="eastAsia" w:ascii="宋体" w:hAnsi="宋体"/>
          <w:b/>
          <w:bCs/>
          <w:sz w:val="32"/>
          <w:szCs w:val="32"/>
          <w:shd w:val="clear" w:color="auto" w:fill="FFFFFF" w:themeFill="background1"/>
          <w:lang w:val="en-US" w:eastAsia="zh-CN"/>
        </w:rPr>
      </w:pPr>
    </w:p>
    <w:p w14:paraId="105BFD5D">
      <w:pPr>
        <w:pStyle w:val="4"/>
        <w:spacing w:after="0" w:line="360" w:lineRule="auto"/>
        <w:jc w:val="center"/>
        <w:rPr>
          <w:rFonts w:hint="eastAsia" w:ascii="宋体" w:hAnsi="宋体"/>
          <w:b/>
          <w:bCs/>
          <w:sz w:val="32"/>
          <w:szCs w:val="32"/>
          <w:shd w:val="clear" w:color="auto" w:fill="FFFFFF" w:themeFill="background1"/>
          <w:lang w:val="en-US" w:eastAsia="zh-CN"/>
        </w:rPr>
      </w:pPr>
    </w:p>
    <w:p w14:paraId="43CE648D">
      <w:pPr>
        <w:pStyle w:val="4"/>
        <w:spacing w:after="0" w:line="360" w:lineRule="auto"/>
        <w:jc w:val="center"/>
        <w:rPr>
          <w:rFonts w:hint="eastAsia" w:ascii="宋体" w:hAnsi="宋体"/>
          <w:b/>
          <w:bCs/>
          <w:sz w:val="32"/>
          <w:szCs w:val="32"/>
          <w:shd w:val="clear" w:color="auto" w:fill="FFFFFF" w:themeFill="background1"/>
          <w:lang w:val="en-US" w:eastAsia="zh-CN"/>
        </w:rPr>
      </w:pPr>
    </w:p>
    <w:p w14:paraId="3C4B327A">
      <w:pPr>
        <w:pStyle w:val="4"/>
        <w:spacing w:after="0" w:line="360" w:lineRule="auto"/>
        <w:jc w:val="center"/>
        <w:rPr>
          <w:rFonts w:hint="eastAsia" w:ascii="宋体" w:hAnsi="宋体"/>
          <w:b/>
          <w:bCs/>
          <w:sz w:val="32"/>
          <w:szCs w:val="32"/>
          <w:shd w:val="clear" w:color="auto" w:fill="FFFFFF" w:themeFill="background1"/>
          <w:lang w:val="en-US" w:eastAsia="zh-CN"/>
        </w:rPr>
      </w:pPr>
    </w:p>
    <w:p w14:paraId="2360109E">
      <w:pPr>
        <w:pStyle w:val="4"/>
        <w:spacing w:after="0" w:line="360" w:lineRule="auto"/>
        <w:jc w:val="center"/>
        <w:rPr>
          <w:rFonts w:hint="eastAsia" w:ascii="宋体" w:hAnsi="宋体"/>
          <w:b/>
          <w:bCs/>
          <w:sz w:val="32"/>
          <w:szCs w:val="32"/>
          <w:shd w:val="clear" w:color="auto" w:fill="FFFFFF" w:themeFill="background1"/>
          <w:lang w:val="en-US" w:eastAsia="zh-CN"/>
        </w:rPr>
      </w:pPr>
      <w:r>
        <w:rPr>
          <w:rFonts w:hint="eastAsia" w:ascii="宋体" w:hAnsi="宋体"/>
          <w:b/>
          <w:bCs/>
          <w:sz w:val="32"/>
          <w:szCs w:val="32"/>
          <w:shd w:val="clear" w:color="auto" w:fill="FFFFFF" w:themeFill="background1"/>
          <w:lang w:val="en-US" w:eastAsia="zh-CN"/>
        </w:rPr>
        <w:t>2包：电子注射器</w:t>
      </w:r>
    </w:p>
    <w:p w14:paraId="101F8E02">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一、用途：</w:t>
      </w:r>
      <w:r>
        <w:rPr>
          <w:rFonts w:hint="default" w:ascii="宋体" w:hAnsi="宋体" w:cs="宋体"/>
          <w:sz w:val="24"/>
          <w:szCs w:val="24"/>
          <w:lang w:val="en-US" w:eastAsia="zh-CN"/>
        </w:rPr>
        <w:t>用于对患者面部真皮层定量注射透明质酸钠</w:t>
      </w:r>
      <w:r>
        <w:rPr>
          <w:rFonts w:hint="eastAsia" w:ascii="宋体" w:hAnsi="宋体" w:cs="宋体"/>
          <w:sz w:val="24"/>
          <w:szCs w:val="24"/>
          <w:lang w:val="en-US" w:eastAsia="zh-CN"/>
        </w:rPr>
        <w:t>；</w:t>
      </w:r>
    </w:p>
    <w:p w14:paraId="57D8931B">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二、</w:t>
      </w:r>
      <w:r>
        <w:rPr>
          <w:rFonts w:hint="eastAsia" w:ascii="宋体" w:hAnsi="宋体" w:eastAsia="宋体" w:cs="宋体"/>
          <w:sz w:val="24"/>
          <w:szCs w:val="24"/>
          <w:lang w:val="en-US" w:eastAsia="zh-CN"/>
        </w:rPr>
        <w:t>参数及要求：</w:t>
      </w:r>
    </w:p>
    <w:p w14:paraId="0202667F">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▲1、注射器适配规格：适配1ml至5ml各种市场主流注射器接口（提供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3F486E7B">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2、注射次数：可在10～100次之间选择每支药液总注射次数；或者选择设定单次注射剂量，由系统自动计算总注射次数</w:t>
      </w:r>
    </w:p>
    <w:p w14:paraId="48BCA11F">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3、注射模式包含：自动、自动单次、单次、正常连续、慢速连续模式</w:t>
      </w:r>
    </w:p>
    <w:p w14:paraId="204A4647">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4、注射速度包含：慢速、常规、快速三种速度可选</w:t>
      </w:r>
    </w:p>
    <w:p w14:paraId="71314D9B">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5、负压强度、注射响应时间、注射保持时间、</w:t>
      </w:r>
      <w:r>
        <w:rPr>
          <w:rFonts w:hint="default" w:ascii="宋体" w:hAnsi="宋体" w:cs="宋体"/>
          <w:sz w:val="24"/>
          <w:szCs w:val="24"/>
          <w:lang w:val="en-US" w:eastAsia="zh-CN"/>
        </w:rPr>
        <w:t>负压释放</w:t>
      </w:r>
      <w:r>
        <w:rPr>
          <w:rFonts w:hint="eastAsia" w:ascii="宋体" w:hAnsi="宋体" w:cs="宋体"/>
          <w:sz w:val="24"/>
          <w:szCs w:val="24"/>
          <w:lang w:val="en-US" w:eastAsia="zh-CN"/>
        </w:rPr>
        <w:t>等待时间多级可调</w:t>
      </w:r>
    </w:p>
    <w:p w14:paraId="11BCF2F4">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8、</w:t>
      </w:r>
      <w:r>
        <w:rPr>
          <w:rFonts w:hint="default" w:ascii="宋体" w:hAnsi="宋体" w:cs="宋体"/>
          <w:sz w:val="24"/>
          <w:szCs w:val="24"/>
          <w:lang w:val="en-US" w:eastAsia="zh-CN"/>
        </w:rPr>
        <w:t>振动频率</w:t>
      </w:r>
      <w:r>
        <w:rPr>
          <w:rFonts w:hint="eastAsia" w:ascii="宋体" w:hAnsi="宋体" w:cs="宋体"/>
          <w:sz w:val="24"/>
          <w:szCs w:val="24"/>
          <w:lang w:val="en-US" w:eastAsia="zh-CN"/>
        </w:rPr>
        <w:t>：变频，可根据吸收情况自行调节</w:t>
      </w:r>
    </w:p>
    <w:p w14:paraId="4E3EFA3C">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9、根据系统各项可调节参数，系统可自定义五套以上预置注射参数</w:t>
      </w:r>
    </w:p>
    <w:p w14:paraId="7B7F2744">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▲10、具有设备深度清洁功能（提供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2E3C1B7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具有错误提示和报警功能</w:t>
      </w:r>
    </w:p>
    <w:p w14:paraId="252C58EA">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★12、产品</w:t>
      </w:r>
      <w:r>
        <w:rPr>
          <w:rFonts w:hint="default" w:ascii="宋体" w:hAnsi="宋体" w:cs="宋体"/>
          <w:sz w:val="24"/>
          <w:szCs w:val="24"/>
          <w:highlight w:val="none"/>
          <w:lang w:val="en-US" w:eastAsia="zh-CN"/>
        </w:rPr>
        <w:t>配套耗材必须</w:t>
      </w:r>
      <w:r>
        <w:rPr>
          <w:rFonts w:hint="eastAsia" w:ascii="宋体" w:hAnsi="宋体" w:cs="宋体"/>
          <w:sz w:val="24"/>
          <w:szCs w:val="24"/>
          <w:highlight w:val="none"/>
          <w:lang w:val="en-US" w:eastAsia="zh-CN"/>
        </w:rPr>
        <w:t>可以</w:t>
      </w:r>
      <w:r>
        <w:rPr>
          <w:rFonts w:hint="default" w:ascii="宋体" w:hAnsi="宋体" w:cs="宋体"/>
          <w:sz w:val="24"/>
          <w:szCs w:val="24"/>
          <w:highlight w:val="none"/>
          <w:lang w:val="en-US" w:eastAsia="zh-CN"/>
        </w:rPr>
        <w:t>在江苏省医疗保障公共服务平台药品和医用耗材招采管理系统上进行采购</w:t>
      </w:r>
      <w:r>
        <w:rPr>
          <w:rFonts w:hint="eastAsia" w:ascii="宋体" w:hAnsi="宋体" w:cs="宋体"/>
          <w:sz w:val="24"/>
          <w:szCs w:val="24"/>
          <w:highlight w:val="none"/>
          <w:lang w:val="en-US" w:eastAsia="zh-CN"/>
        </w:rPr>
        <w:t>（提供承诺书）。</w:t>
      </w:r>
    </w:p>
    <w:p w14:paraId="19A95F95">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三、配置清单：</w:t>
      </w:r>
    </w:p>
    <w:p w14:paraId="42732491">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default" w:ascii="宋体" w:hAnsi="宋体" w:cs="宋体"/>
          <w:sz w:val="24"/>
          <w:szCs w:val="24"/>
          <w:lang w:val="en-US" w:eastAsia="zh-CN"/>
        </w:rPr>
        <w:t>主机</w:t>
      </w:r>
      <w:r>
        <w:rPr>
          <w:rFonts w:hint="eastAsia" w:ascii="宋体" w:hAnsi="宋体" w:cs="宋体"/>
          <w:sz w:val="24"/>
          <w:szCs w:val="24"/>
          <w:lang w:val="en-US" w:eastAsia="zh-CN"/>
        </w:rPr>
        <w:t xml:space="preserve">        </w:t>
      </w:r>
      <w:r>
        <w:rPr>
          <w:rFonts w:hint="default" w:ascii="宋体" w:hAnsi="宋体" w:cs="宋体"/>
          <w:sz w:val="24"/>
          <w:szCs w:val="24"/>
          <w:lang w:val="en-US" w:eastAsia="zh-CN"/>
        </w:rPr>
        <w:t>1台</w:t>
      </w:r>
    </w:p>
    <w:p w14:paraId="42557874">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default" w:ascii="宋体" w:hAnsi="宋体" w:cs="宋体"/>
          <w:sz w:val="24"/>
          <w:szCs w:val="24"/>
          <w:lang w:val="en-US" w:eastAsia="zh-CN"/>
        </w:rPr>
        <w:t>手柄</w:t>
      </w:r>
      <w:r>
        <w:rPr>
          <w:rFonts w:hint="eastAsia" w:ascii="宋体" w:hAnsi="宋体" w:cs="宋体"/>
          <w:sz w:val="24"/>
          <w:szCs w:val="24"/>
          <w:lang w:val="en-US" w:eastAsia="zh-CN"/>
        </w:rPr>
        <w:t xml:space="preserve">        </w:t>
      </w:r>
      <w:r>
        <w:rPr>
          <w:rFonts w:hint="default" w:ascii="宋体" w:hAnsi="宋体" w:cs="宋体"/>
          <w:sz w:val="24"/>
          <w:szCs w:val="24"/>
          <w:lang w:val="en-US" w:eastAsia="zh-CN"/>
        </w:rPr>
        <w:t>1个</w:t>
      </w:r>
    </w:p>
    <w:p w14:paraId="6AB295CB">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 xml:space="preserve">脚踏开关    </w:t>
      </w:r>
      <w:r>
        <w:rPr>
          <w:rFonts w:hint="default" w:ascii="宋体" w:hAnsi="宋体" w:cs="宋体"/>
          <w:sz w:val="24"/>
          <w:szCs w:val="24"/>
          <w:lang w:val="en-US" w:eastAsia="zh-CN"/>
        </w:rPr>
        <w:t>1个</w:t>
      </w:r>
    </w:p>
    <w:p w14:paraId="2B3679D5">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p>
    <w:p w14:paraId="514D4FA5">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p>
    <w:p w14:paraId="7F9F7311">
      <w:pPr>
        <w:pStyle w:val="4"/>
        <w:spacing w:after="0" w:line="360" w:lineRule="auto"/>
        <w:jc w:val="center"/>
        <w:rPr>
          <w:rFonts w:hint="eastAsia" w:ascii="宋体" w:hAnsi="宋体"/>
          <w:b/>
          <w:bCs/>
          <w:sz w:val="32"/>
          <w:szCs w:val="32"/>
          <w:shd w:val="clear" w:color="auto" w:fill="FFFFFF" w:themeFill="background1"/>
          <w:lang w:val="en-US" w:eastAsia="zh-CN"/>
        </w:rPr>
      </w:pPr>
    </w:p>
    <w:p w14:paraId="5F495236">
      <w:pPr>
        <w:pStyle w:val="4"/>
        <w:spacing w:after="0" w:line="360" w:lineRule="auto"/>
        <w:jc w:val="center"/>
        <w:rPr>
          <w:rFonts w:hint="eastAsia" w:ascii="宋体" w:hAnsi="宋体"/>
          <w:b/>
          <w:bCs/>
          <w:sz w:val="32"/>
          <w:szCs w:val="32"/>
          <w:shd w:val="clear" w:color="auto" w:fill="FFFFFF" w:themeFill="background1"/>
          <w:lang w:val="en-US" w:eastAsia="zh-CN"/>
        </w:rPr>
      </w:pPr>
    </w:p>
    <w:p w14:paraId="735E5294">
      <w:pPr>
        <w:pStyle w:val="4"/>
        <w:spacing w:after="0" w:line="360" w:lineRule="auto"/>
        <w:jc w:val="center"/>
        <w:rPr>
          <w:rFonts w:hint="eastAsia" w:ascii="宋体" w:hAnsi="宋体"/>
          <w:b/>
          <w:bCs/>
          <w:sz w:val="32"/>
          <w:szCs w:val="32"/>
          <w:shd w:val="clear" w:color="auto" w:fill="FFFFFF" w:themeFill="background1"/>
          <w:lang w:val="en-US" w:eastAsia="zh-CN"/>
        </w:rPr>
      </w:pPr>
    </w:p>
    <w:p w14:paraId="6AA767B3">
      <w:pPr>
        <w:pStyle w:val="4"/>
        <w:spacing w:after="0" w:line="360" w:lineRule="auto"/>
        <w:ind w:left="0" w:leftChars="0" w:firstLine="0" w:firstLineChars="0"/>
        <w:jc w:val="both"/>
        <w:rPr>
          <w:rFonts w:hint="eastAsia" w:ascii="宋体" w:hAnsi="宋体"/>
          <w:b/>
          <w:bCs/>
          <w:sz w:val="32"/>
          <w:szCs w:val="32"/>
          <w:shd w:val="clear" w:color="auto" w:fill="FFFFFF" w:themeFill="background1"/>
          <w:lang w:val="en-US" w:eastAsia="zh-CN"/>
        </w:rPr>
      </w:pPr>
      <w:bookmarkStart w:id="0" w:name="_GoBack"/>
      <w:bookmarkEnd w:id="0"/>
    </w:p>
    <w:p w14:paraId="0AF4C82E">
      <w:pPr>
        <w:pStyle w:val="4"/>
        <w:spacing w:after="0" w:line="360" w:lineRule="auto"/>
        <w:jc w:val="center"/>
        <w:rPr>
          <w:rFonts w:hint="default" w:ascii="宋体" w:hAnsi="宋体" w:cs="宋体"/>
          <w:sz w:val="24"/>
          <w:szCs w:val="24"/>
          <w:lang w:val="en-US" w:eastAsia="zh-CN"/>
        </w:rPr>
      </w:pPr>
      <w:r>
        <w:rPr>
          <w:rFonts w:hint="eastAsia" w:ascii="宋体" w:hAnsi="宋体"/>
          <w:b/>
          <w:bCs/>
          <w:sz w:val="32"/>
          <w:szCs w:val="32"/>
          <w:shd w:val="clear" w:color="auto" w:fill="FFFFFF" w:themeFill="background1"/>
          <w:lang w:val="en-US" w:eastAsia="zh-CN"/>
        </w:rPr>
        <w:t>3包：尿液分析仪</w:t>
      </w:r>
    </w:p>
    <w:p w14:paraId="72D03E86">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一、用途：对人体尿液样本中生化成分进行半定量检测；</w:t>
      </w:r>
    </w:p>
    <w:p w14:paraId="28F98F8C">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default" w:ascii="宋体" w:hAnsi="宋体" w:cs="宋体"/>
          <w:sz w:val="24"/>
          <w:szCs w:val="24"/>
          <w:lang w:val="en-US" w:eastAsia="zh-CN"/>
        </w:rPr>
      </w:pPr>
      <w:r>
        <w:rPr>
          <w:rFonts w:hint="eastAsia" w:ascii="宋体" w:hAnsi="宋体" w:cs="宋体"/>
          <w:sz w:val="24"/>
          <w:szCs w:val="24"/>
          <w:lang w:val="en-US" w:eastAsia="zh-CN"/>
        </w:rPr>
        <w:t>二、参数及要求：</w:t>
      </w:r>
    </w:p>
    <w:p w14:paraId="16007A38">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1、检测原理：光电比色分析法</w:t>
      </w:r>
    </w:p>
    <w:p w14:paraId="2F856053">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▲2、理学检测：颜色、浊度、比重、电导率、渗透压（提供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712D4193">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3、干化学项目包含：潜血（BLD）、白细胞（LEU）、比重（SG）、pH、葡萄糖（GLU）、蛋白质（PRO）、亚硝酸盐（NIT）、酮体（KET）、尿胆原（URO）、胆红素（BIL）、抗坏血酸（VC）、微量白蛋白（mALB）、肌酐（CR）、钙离子（Ca）（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005C108C">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▲4、标本处理：标本无需离心及染色，直接上机检测（提供</w:t>
      </w:r>
      <w:r>
        <w:rPr>
          <w:rFonts w:hint="eastAsia" w:ascii="宋体" w:hAnsi="宋体" w:eastAsia="宋体" w:cs="宋体"/>
          <w:bCs/>
          <w:color w:val="auto"/>
          <w:sz w:val="24"/>
          <w:szCs w:val="24"/>
          <w:highlight w:val="none"/>
          <w:lang w:val="en-US" w:eastAsia="zh-CN"/>
        </w:rPr>
        <w:t>相关支撑证明材料并加盖投标人单位公章</w:t>
      </w:r>
      <w:r>
        <w:rPr>
          <w:rFonts w:hint="eastAsia" w:ascii="宋体" w:hAnsi="宋体" w:cs="宋体"/>
          <w:sz w:val="24"/>
          <w:szCs w:val="24"/>
          <w:lang w:val="en-US" w:eastAsia="zh-CN"/>
        </w:rPr>
        <w:t>）</w:t>
      </w:r>
    </w:p>
    <w:p w14:paraId="29E530E9">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5、仪器具备开机自检功能，可识别并报告运行错误</w:t>
      </w:r>
    </w:p>
    <w:p w14:paraId="20540211">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6、轨道式送样，可批量处理多个样本</w:t>
      </w:r>
    </w:p>
    <w:p w14:paraId="1D11A33F">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7、可支持条码仪扫描，自动读取试管上的条形码，并保存到数据库。</w:t>
      </w:r>
    </w:p>
    <w:p w14:paraId="7340F697">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8、具备自动混匀、进样，自动清洗功能</w:t>
      </w:r>
    </w:p>
    <w:p w14:paraId="2BF545DB">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9、检测速度：≥120标本/小时</w:t>
      </w:r>
    </w:p>
    <w:p w14:paraId="6549059E">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10、须与医院Lis系统连接</w:t>
      </w:r>
    </w:p>
    <w:p w14:paraId="4037FC0C">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11、配置电脑一台（CPU≥I5，内存≥16G，固态硬盘≥500G，超高清采集卡，显示器≥24寸）、激光打印机一台</w:t>
      </w:r>
    </w:p>
    <w:p w14:paraId="03E3CBD8">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★12、产品</w:t>
      </w:r>
      <w:r>
        <w:rPr>
          <w:rFonts w:hint="default" w:ascii="宋体" w:hAnsi="宋体" w:cs="宋体"/>
          <w:sz w:val="24"/>
          <w:szCs w:val="24"/>
          <w:highlight w:val="none"/>
          <w:lang w:val="en-US" w:eastAsia="zh-CN"/>
        </w:rPr>
        <w:t>配套耗材必须</w:t>
      </w:r>
      <w:r>
        <w:rPr>
          <w:rFonts w:hint="eastAsia" w:ascii="宋体" w:hAnsi="宋体" w:cs="宋体"/>
          <w:sz w:val="24"/>
          <w:szCs w:val="24"/>
          <w:highlight w:val="none"/>
          <w:lang w:val="en-US" w:eastAsia="zh-CN"/>
        </w:rPr>
        <w:t>可以</w:t>
      </w:r>
      <w:r>
        <w:rPr>
          <w:rFonts w:hint="default" w:ascii="宋体" w:hAnsi="宋体" w:cs="宋体"/>
          <w:sz w:val="24"/>
          <w:szCs w:val="24"/>
          <w:highlight w:val="none"/>
          <w:lang w:val="en-US" w:eastAsia="zh-CN"/>
        </w:rPr>
        <w:t>在江苏省医疗保障公共服务平台药品和医用耗材招采管理系统上进行采购</w:t>
      </w:r>
      <w:r>
        <w:rPr>
          <w:rFonts w:hint="eastAsia" w:ascii="宋体" w:hAnsi="宋体" w:cs="宋体"/>
          <w:sz w:val="24"/>
          <w:szCs w:val="24"/>
          <w:highlight w:val="none"/>
          <w:lang w:val="en-US" w:eastAsia="zh-CN"/>
        </w:rPr>
        <w:t>（提供承诺书）。</w:t>
      </w:r>
    </w:p>
    <w:p w14:paraId="72B15948">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二、配置清单</w:t>
      </w:r>
    </w:p>
    <w:p w14:paraId="2BC7C879">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1、主机                              1台</w:t>
      </w:r>
    </w:p>
    <w:p w14:paraId="0CADB72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工作站（电脑、打印机、LIS端口）  1套</w:t>
      </w:r>
    </w:p>
    <w:p w14:paraId="4A1671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textAlignment w:val="auto"/>
        <w:rPr>
          <w:rFonts w:hint="default" w:ascii="宋体" w:hAnsi="宋体" w:cs="宋体"/>
          <w:sz w:val="24"/>
          <w:szCs w:val="24"/>
          <w:lang w:val="en-US" w:eastAsia="zh-CN"/>
        </w:rPr>
      </w:pPr>
    </w:p>
    <w:p w14:paraId="48685EE1">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cs="宋体"/>
          <w:sz w:val="24"/>
          <w:szCs w:val="24"/>
          <w:lang w:val="en-US" w:eastAsia="zh-CN"/>
        </w:rPr>
      </w:pPr>
    </w:p>
    <w:p w14:paraId="3C49F874">
      <w:pPr>
        <w:jc w:val="center"/>
        <w:rPr>
          <w:rFonts w:hint="default" w:ascii="宋体" w:hAnsi="宋体" w:eastAsia="宋体" w:cs="宋体"/>
          <w:b/>
          <w:bCs/>
          <w:i w:val="0"/>
          <w:iCs w:val="0"/>
          <w:color w:val="000000"/>
          <w:kern w:val="0"/>
          <w:sz w:val="36"/>
          <w:szCs w:val="36"/>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B9287"/>
    <w:multiLevelType w:val="singleLevel"/>
    <w:tmpl w:val="881B9287"/>
    <w:lvl w:ilvl="0" w:tentative="0">
      <w:start w:val="11"/>
      <w:numFmt w:val="decimal"/>
      <w:suff w:val="nothing"/>
      <w:lvlText w:val="%1、"/>
      <w:lvlJc w:val="left"/>
    </w:lvl>
  </w:abstractNum>
  <w:abstractNum w:abstractNumId="1">
    <w:nsid w:val="BE42BC55"/>
    <w:multiLevelType w:val="singleLevel"/>
    <w:tmpl w:val="BE42BC55"/>
    <w:lvl w:ilvl="0" w:tentative="0">
      <w:start w:val="1"/>
      <w:numFmt w:val="decimal"/>
      <w:suff w:val="nothing"/>
      <w:lvlText w:val="%1、"/>
      <w:lvlJc w:val="left"/>
    </w:lvl>
  </w:abstractNum>
  <w:abstractNum w:abstractNumId="2">
    <w:nsid w:val="F68532D3"/>
    <w:multiLevelType w:val="singleLevel"/>
    <w:tmpl w:val="F68532D3"/>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C4532"/>
    <w:rsid w:val="03381733"/>
    <w:rsid w:val="06500E91"/>
    <w:rsid w:val="168F4C1D"/>
    <w:rsid w:val="599B3347"/>
    <w:rsid w:val="6071168B"/>
    <w:rsid w:val="65AD3350"/>
    <w:rsid w:val="747B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Calibri" w:hAnsi="Calibri"/>
      <w:szCs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w:basedOn w:val="2"/>
    <w:qFormat/>
    <w:uiPriority w:val="0"/>
    <w:pPr>
      <w:ind w:firstLine="420" w:firstLineChars="100"/>
    </w:pPr>
    <w:rPr>
      <w:rFonts w:asciiTheme="minorHAnsi" w:hAnsiTheme="minorHAns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1657</Characters>
  <Lines>0</Lines>
  <Paragraphs>0</Paragraphs>
  <TotalTime>1</TotalTime>
  <ScaleCrop>false</ScaleCrop>
  <LinksUpToDate>false</LinksUpToDate>
  <CharactersWithSpaces>1769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2026-07-17T09:02:00Z</dcterms:created>
  <dc:creator>Administrator</dc:creator>
  <cp:lastModifiedBy>Mr~Rong</cp:lastModifiedBy>
  <dcterms:modified xsi:type="dcterms:W3CDTF">2026-07-18T00:50:37Z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eyJoZGlkIjoiOTk3OTI2MWQ2OTdlMDMzYWMxOGNjZDQxZDk4MDAyZmYiLCJ1c2VySWQiOiI2MDA2NTg3NDQifQ==</vt:lpwstr>
  </property>
  <property fmtid="{D5CDD505-2E9C-101B-9397-08002B2CF9AE}" pid="4" name="ICV">
    <vt:lpwstr>8B51FBDB53F04163877DB0B196538F72_13</vt:lpwstr>
  </property>
</Properties>
</file>