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0F32F">
      <w:pPr>
        <w:spacing w:line="360" w:lineRule="auto"/>
        <w:jc w:val="center"/>
        <w:rPr>
          <w:b/>
          <w:bCs/>
          <w:sz w:val="36"/>
          <w:szCs w:val="36"/>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-532130</wp:posOffset>
                </wp:positionV>
                <wp:extent cx="723900" cy="294640"/>
                <wp:effectExtent l="0" t="0" r="0" b="10160"/>
                <wp:wrapNone/>
                <wp:docPr id="1" name="文本框 1"/>
                <wp:cNvGraphicFramePr/>
                <a:graphic xmlns:a="http://schemas.openxmlformats.org/drawingml/2006/main">
                  <a:graphicData uri="http://schemas.microsoft.com/office/word/2010/wordprocessingShape">
                    <wps:wsp>
                      <wps:cNvSpPr txBox="1"/>
                      <wps:spPr>
                        <a:xfrm>
                          <a:off x="499110" y="382270"/>
                          <a:ext cx="723900" cy="294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C7A03">
                            <w:pPr>
                              <w:rPr>
                                <w:rFonts w:hint="default" w:eastAsia="宋体"/>
                                <w:b/>
                                <w:bCs/>
                                <w:lang w:val="en-US" w:eastAsia="zh-CN"/>
                              </w:rPr>
                            </w:pPr>
                            <w:r>
                              <w:rPr>
                                <w:rFonts w:hint="eastAsia"/>
                                <w:b/>
                                <w:bCs/>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pt;margin-top:-41.9pt;height:23.2pt;width:57pt;z-index:251659264;mso-width-relative:page;mso-height-relative:page;" fillcolor="#FFFFFF [3201]" filled="t" stroked="f" coordsize="21600,21600" o:gfxdata="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p0jqe1gAA&#10;AAsBAAAPAAAAAAAAAAEAIAAAACIAAABkcnMvZG93bnJldi54bWxQSwECFAAUAAAACACHTuJAu67a&#10;klkCAACYBAAADgAAAAAAAAABACAAAAAlAQAAZHJzL2Uyb0RvYy54bWxQSwUGAAAAAAYABgBZAQAA&#10;8AUAAAAA&#10;">
                <v:fill on="t" focussize="0,0"/>
                <v:stroke on="f" weight="0.5pt"/>
                <v:imagedata o:title=""/>
                <o:lock v:ext="edit" aspectratio="f"/>
                <v:textbox>
                  <w:txbxContent>
                    <w:p w14:paraId="1E5C7A03">
                      <w:pPr>
                        <w:rPr>
                          <w:rFonts w:hint="default" w:eastAsia="宋体"/>
                          <w:b/>
                          <w:bCs/>
                          <w:lang w:val="en-US" w:eastAsia="zh-CN"/>
                        </w:rPr>
                      </w:pPr>
                      <w:r>
                        <w:rPr>
                          <w:rFonts w:hint="eastAsia"/>
                          <w:b/>
                          <w:bCs/>
                          <w:lang w:val="en-US" w:eastAsia="zh-CN"/>
                        </w:rPr>
                        <w:t>附件1</w:t>
                      </w:r>
                    </w:p>
                  </w:txbxContent>
                </v:textbox>
              </v:shape>
            </w:pict>
          </mc:Fallback>
        </mc:AlternateContent>
      </w:r>
      <w:r>
        <w:rPr>
          <w:rFonts w:hint="eastAsia"/>
          <w:b/>
          <w:bCs/>
          <w:sz w:val="36"/>
          <w:szCs w:val="36"/>
        </w:rPr>
        <w:t>项目需求</w:t>
      </w:r>
    </w:p>
    <w:p w14:paraId="2D9FFB2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一、项目内容</w:t>
      </w:r>
    </w:p>
    <w:p w14:paraId="7599E6C1">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eastAsia="zh-CN"/>
        </w:rPr>
        <w:t>盐城市亭湖区人民医院透析壶、</w:t>
      </w:r>
      <w:r>
        <w:rPr>
          <w:rFonts w:hint="eastAsia" w:ascii="宋体" w:hAnsi="宋体" w:cs="宋体"/>
          <w:kern w:val="0"/>
          <w:sz w:val="24"/>
          <w:lang w:val="en-US" w:eastAsia="zh-CN"/>
        </w:rPr>
        <w:t>未被污染输液瓶（袋）</w:t>
      </w:r>
      <w:r>
        <w:rPr>
          <w:rFonts w:hint="eastAsia" w:ascii="宋体" w:hAnsi="宋体" w:cs="宋体"/>
          <w:kern w:val="0"/>
          <w:sz w:val="24"/>
        </w:rPr>
        <w:t>上门回收服务。回收的</w:t>
      </w:r>
      <w:r>
        <w:rPr>
          <w:rFonts w:hint="eastAsia" w:ascii="宋体" w:hAnsi="宋体" w:cs="宋体"/>
          <w:kern w:val="0"/>
          <w:sz w:val="24"/>
          <w:lang w:eastAsia="zh-CN"/>
        </w:rPr>
        <w:t>透析壶</w:t>
      </w:r>
      <w:r>
        <w:rPr>
          <w:rFonts w:hint="eastAsia" w:ascii="宋体" w:hAnsi="宋体" w:cs="宋体"/>
          <w:kern w:val="0"/>
          <w:sz w:val="24"/>
        </w:rPr>
        <w:t>要按照国家法律法规及国家卫生健康委等有关规定做好回收物品的回收处置工作，保证回收处置合法依规安全</w:t>
      </w:r>
      <w:r>
        <w:rPr>
          <w:rFonts w:hint="eastAsia" w:ascii="宋体" w:hAnsi="宋体" w:cs="宋体"/>
          <w:kern w:val="0"/>
          <w:sz w:val="24"/>
          <w:lang w:eastAsia="zh-CN"/>
        </w:rPr>
        <w:t>，</w:t>
      </w:r>
      <w:r>
        <w:rPr>
          <w:rFonts w:hint="eastAsia" w:ascii="宋体" w:hAnsi="宋体" w:cs="宋体"/>
          <w:kern w:val="0"/>
          <w:sz w:val="24"/>
        </w:rPr>
        <w:t>回收物品的处置利用不用于原用途，也不将回收物品用于生产食品、药品、化妆品、洗涤用品等包装容器及服装、被褥、日用品等可能危害人体健康的产品生产中。</w:t>
      </w:r>
    </w:p>
    <w:p w14:paraId="0836A36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二、服务要求及相关说明</w:t>
      </w:r>
    </w:p>
    <w:p w14:paraId="0A1D9B41">
      <w:pPr>
        <w:widowControl/>
        <w:spacing w:line="360" w:lineRule="auto"/>
        <w:ind w:firstLine="480" w:firstLineChars="200"/>
        <w:jc w:val="left"/>
        <w:rPr>
          <w:rFonts w:hint="eastAsia" w:ascii="宋体" w:hAnsi="宋体" w:cs="宋体"/>
          <w:kern w:val="0"/>
          <w:sz w:val="24"/>
          <w:lang w:eastAsia="zh-CN"/>
        </w:rPr>
      </w:pPr>
      <w:r>
        <w:rPr>
          <w:rFonts w:hint="eastAsia" w:ascii="宋体" w:hAnsi="宋体" w:cs="宋体"/>
          <w:kern w:val="0"/>
          <w:sz w:val="24"/>
        </w:rPr>
        <w:t>1.院方向成交方出售透析壶及未被污染的输液瓶（袋）</w:t>
      </w:r>
      <w:r>
        <w:rPr>
          <w:rFonts w:hint="eastAsia" w:ascii="宋体" w:hAnsi="宋体" w:cs="宋体"/>
          <w:kern w:val="0"/>
          <w:sz w:val="24"/>
          <w:lang w:eastAsia="zh-CN"/>
        </w:rPr>
        <w:t>，</w:t>
      </w:r>
      <w:r>
        <w:rPr>
          <w:rFonts w:hint="eastAsia" w:ascii="宋体" w:hAnsi="宋体" w:cs="宋体"/>
          <w:kern w:val="0"/>
          <w:sz w:val="24"/>
        </w:rPr>
        <w:t>成交方有偿回收并处置上述医疗活动中产生的非医疗废物，同时免费回收处置玻璃瓶。双方严禁涉及任何医疗废物的交易或转移，成交方一旦发现回收物中混有医疗废物，须立即退还院方，由院方按程序处置。</w:t>
      </w:r>
    </w:p>
    <w:p w14:paraId="25A5EC8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2.院方将回收物品进行集中，装入由</w:t>
      </w:r>
      <w:r>
        <w:rPr>
          <w:rFonts w:hint="eastAsia" w:ascii="宋体" w:hAnsi="宋体" w:cs="宋体"/>
          <w:kern w:val="0"/>
          <w:sz w:val="24"/>
          <w:lang w:eastAsia="zh-CN"/>
        </w:rPr>
        <w:t>成交</w:t>
      </w:r>
      <w:r>
        <w:rPr>
          <w:rFonts w:hint="eastAsia" w:ascii="宋体" w:hAnsi="宋体" w:cs="宋体"/>
          <w:kern w:val="0"/>
          <w:sz w:val="24"/>
        </w:rPr>
        <w:t>方无偿提供的回收专用袋中，以免运输破损污染环境，填写回收记录单、登记建档；</w:t>
      </w:r>
      <w:r>
        <w:rPr>
          <w:rFonts w:hint="eastAsia" w:ascii="宋体" w:hAnsi="宋体" w:cs="宋体"/>
          <w:kern w:val="0"/>
          <w:sz w:val="24"/>
          <w:lang w:eastAsia="zh-CN"/>
        </w:rPr>
        <w:t>成交</w:t>
      </w:r>
      <w:r>
        <w:rPr>
          <w:rFonts w:hint="eastAsia" w:ascii="宋体" w:hAnsi="宋体" w:cs="宋体"/>
          <w:kern w:val="0"/>
          <w:sz w:val="24"/>
        </w:rPr>
        <w:t>方指定专人定时上门清点、回收，双方在回收记录单签字交接。每次回收时，按实际数量填写，以院方签名确认的数量为准。所有双方签字的凭证需提交一份至院方存档。</w:t>
      </w:r>
    </w:p>
    <w:p w14:paraId="105B7F29">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lang w:eastAsia="zh-CN"/>
        </w:rPr>
        <w:t>成交</w:t>
      </w:r>
      <w:r>
        <w:rPr>
          <w:rFonts w:hint="eastAsia" w:ascii="宋体" w:hAnsi="宋体" w:cs="宋体"/>
          <w:kern w:val="0"/>
          <w:sz w:val="24"/>
        </w:rPr>
        <w:t>方自行负责回收物品的运输及工作人员的安全，</w:t>
      </w:r>
      <w:r>
        <w:rPr>
          <w:rFonts w:hint="eastAsia" w:ascii="宋体" w:hAnsi="宋体" w:cs="宋体"/>
          <w:kern w:val="0"/>
          <w:sz w:val="24"/>
          <w:lang w:eastAsia="zh-CN"/>
        </w:rPr>
        <w:t>成交</w:t>
      </w:r>
      <w:r>
        <w:rPr>
          <w:rFonts w:hint="eastAsia" w:ascii="宋体" w:hAnsi="宋体" w:cs="宋体"/>
          <w:kern w:val="0"/>
          <w:sz w:val="24"/>
        </w:rPr>
        <w:t>方必须按照相关卫生法规、程序、标准对回收物品进行运输、严禁丢失、污染环境、违法转卖等。</w:t>
      </w:r>
    </w:p>
    <w:p w14:paraId="7E91DDBE">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.企业具备履约所需的回收、运输、处理等专业能力，制度健全；回收废物运输、处理、再生利用溯源机制完善，服务期间能正常运营。</w:t>
      </w:r>
    </w:p>
    <w:p w14:paraId="7FEC1991">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s="宋体"/>
          <w:kern w:val="0"/>
          <w:sz w:val="24"/>
          <w:lang w:eastAsia="zh-CN"/>
        </w:rPr>
        <w:t>成交</w:t>
      </w:r>
      <w:r>
        <w:rPr>
          <w:rFonts w:hint="eastAsia" w:ascii="宋体" w:hAnsi="宋体" w:cs="宋体"/>
          <w:kern w:val="0"/>
          <w:sz w:val="24"/>
        </w:rPr>
        <w:t>方在签订本</w:t>
      </w:r>
      <w:r>
        <w:rPr>
          <w:rFonts w:hint="eastAsia" w:ascii="宋体" w:hAnsi="宋体" w:cs="宋体"/>
          <w:kern w:val="0"/>
          <w:sz w:val="24"/>
          <w:lang w:eastAsia="zh-CN"/>
        </w:rPr>
        <w:t>服务协议</w:t>
      </w:r>
      <w:r>
        <w:rPr>
          <w:rFonts w:hint="eastAsia" w:ascii="宋体" w:hAnsi="宋体" w:cs="宋体"/>
          <w:kern w:val="0"/>
          <w:sz w:val="24"/>
        </w:rPr>
        <w:t>时将指定上门收取回收物品的工作人员的授权委托书及个人信息、照片交院方后勤保障处，用作身份识别和管理。</w:t>
      </w:r>
      <w:r>
        <w:rPr>
          <w:rFonts w:hint="eastAsia" w:ascii="宋体" w:hAnsi="宋体" w:cs="宋体"/>
          <w:kern w:val="0"/>
          <w:sz w:val="24"/>
          <w:lang w:eastAsia="zh-CN"/>
        </w:rPr>
        <w:t>成交</w:t>
      </w:r>
      <w:r>
        <w:rPr>
          <w:rFonts w:hint="eastAsia" w:ascii="宋体" w:hAnsi="宋体" w:cs="宋体"/>
          <w:kern w:val="0"/>
          <w:sz w:val="24"/>
        </w:rPr>
        <w:t>方指定工作人员变动的应提前七日书面通知院方并提供新指定人员的上述有关材料。</w:t>
      </w:r>
    </w:p>
    <w:p w14:paraId="05710B31">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eastAsia="zh-CN"/>
        </w:rPr>
        <w:t>成交</w:t>
      </w:r>
      <w:r>
        <w:rPr>
          <w:rFonts w:hint="eastAsia" w:ascii="宋体" w:hAnsi="宋体" w:cs="宋体"/>
          <w:kern w:val="0"/>
          <w:sz w:val="24"/>
        </w:rPr>
        <w:t>方承诺其在签订本</w:t>
      </w:r>
      <w:r>
        <w:rPr>
          <w:rFonts w:hint="eastAsia" w:ascii="宋体" w:hAnsi="宋体" w:cs="宋体"/>
          <w:kern w:val="0"/>
          <w:sz w:val="24"/>
          <w:lang w:eastAsia="zh-CN"/>
        </w:rPr>
        <w:t>服务协议</w:t>
      </w:r>
      <w:r>
        <w:rPr>
          <w:rFonts w:hint="eastAsia" w:ascii="宋体" w:hAnsi="宋体" w:cs="宋体"/>
          <w:kern w:val="0"/>
          <w:sz w:val="24"/>
        </w:rPr>
        <w:t>前已按照有关规定合法取得不属于医疗废物的输液瓶（袋）集中回收处置等资质，并承诺</w:t>
      </w:r>
      <w:r>
        <w:rPr>
          <w:rFonts w:hint="eastAsia" w:ascii="宋体" w:hAnsi="宋体" w:cs="宋体"/>
          <w:kern w:val="0"/>
          <w:sz w:val="24"/>
          <w:lang w:eastAsia="zh-CN"/>
        </w:rPr>
        <w:t>服务协议</w:t>
      </w:r>
      <w:r>
        <w:rPr>
          <w:rFonts w:hint="eastAsia" w:ascii="宋体" w:hAnsi="宋体" w:cs="宋体"/>
          <w:kern w:val="0"/>
          <w:sz w:val="24"/>
        </w:rPr>
        <w:t>签订后资质发生变动情况的及时通知</w:t>
      </w:r>
      <w:r>
        <w:rPr>
          <w:rFonts w:hint="eastAsia" w:ascii="宋体" w:hAnsi="宋体" w:cs="宋体"/>
          <w:kern w:val="0"/>
          <w:sz w:val="24"/>
          <w:lang w:eastAsia="zh-CN"/>
        </w:rPr>
        <w:t>成交</w:t>
      </w:r>
      <w:r>
        <w:rPr>
          <w:rFonts w:hint="eastAsia" w:ascii="宋体" w:hAnsi="宋体" w:cs="宋体"/>
          <w:kern w:val="0"/>
          <w:sz w:val="24"/>
        </w:rPr>
        <w:t>方。</w:t>
      </w:r>
    </w:p>
    <w:p w14:paraId="133BF694">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.存在下列情况之一的，院方可提出解除合作：</w:t>
      </w:r>
    </w:p>
    <w:p w14:paraId="24D7DB28">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成交</w:t>
      </w:r>
      <w:r>
        <w:rPr>
          <w:rFonts w:hint="eastAsia" w:ascii="宋体" w:hAnsi="宋体" w:cs="宋体"/>
          <w:kern w:val="0"/>
          <w:sz w:val="24"/>
        </w:rPr>
        <w:t>方不再具有回收物品回收处置合法资质的；</w:t>
      </w:r>
    </w:p>
    <w:p w14:paraId="4B109530">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成交</w:t>
      </w:r>
      <w:r>
        <w:rPr>
          <w:rFonts w:hint="eastAsia" w:ascii="宋体" w:hAnsi="宋体" w:cs="宋体"/>
          <w:kern w:val="0"/>
          <w:sz w:val="24"/>
        </w:rPr>
        <w:t>方因违法、违规处理回收物品受到行政或司法处理的；</w:t>
      </w:r>
    </w:p>
    <w:p w14:paraId="7B3841F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成交</w:t>
      </w:r>
      <w:r>
        <w:rPr>
          <w:rFonts w:hint="eastAsia" w:ascii="宋体" w:hAnsi="宋体" w:cs="宋体"/>
          <w:kern w:val="0"/>
          <w:sz w:val="24"/>
        </w:rPr>
        <w:t>方因回收处置回收物品不当，致使院方利益受到影响的。</w:t>
      </w:r>
    </w:p>
    <w:p w14:paraId="22B6E80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成交</w:t>
      </w:r>
      <w:r>
        <w:rPr>
          <w:rFonts w:hint="eastAsia" w:ascii="宋体" w:hAnsi="宋体" w:cs="宋体"/>
          <w:kern w:val="0"/>
          <w:sz w:val="24"/>
        </w:rPr>
        <w:t>方未按照约定及时上门收取回收物品影响院方正常工作秩序，情节严重的；</w:t>
      </w:r>
    </w:p>
    <w:p w14:paraId="5D0E3BB5">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（5）根据法律法规和相关行政部门政策规定和通知要求，不能继续履行合同的。</w:t>
      </w:r>
    </w:p>
    <w:p w14:paraId="2317E62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三、</w:t>
      </w:r>
      <w:r>
        <w:rPr>
          <w:rFonts w:hint="eastAsia" w:ascii="宋体" w:hAnsi="宋体" w:cs="宋体"/>
          <w:kern w:val="0"/>
          <w:sz w:val="24"/>
        </w:rPr>
        <w:t>服务期限</w:t>
      </w:r>
    </w:p>
    <w:p w14:paraId="7220C48A">
      <w:pPr>
        <w:widowControl/>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lang w:val="en-US" w:eastAsia="zh-CN"/>
        </w:rPr>
        <w:t>本项目服务期限为2</w:t>
      </w:r>
      <w:r>
        <w:rPr>
          <w:rFonts w:hint="eastAsia" w:ascii="宋体" w:hAnsi="宋体" w:cs="宋体"/>
          <w:kern w:val="0"/>
          <w:sz w:val="24"/>
        </w:rPr>
        <w:t>年</w:t>
      </w:r>
      <w:r>
        <w:rPr>
          <w:rFonts w:hint="eastAsia" w:ascii="宋体" w:hAnsi="宋体" w:cs="宋体"/>
          <w:kern w:val="0"/>
          <w:sz w:val="24"/>
          <w:lang w:eastAsia="zh-CN"/>
        </w:rPr>
        <w:t>。</w:t>
      </w:r>
    </w:p>
    <w:p w14:paraId="526B604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eastAsia="zh-CN"/>
        </w:rPr>
        <w:t>四、</w:t>
      </w:r>
      <w:r>
        <w:rPr>
          <w:rFonts w:hint="eastAsia" w:ascii="宋体" w:hAnsi="宋体" w:cs="宋体"/>
          <w:kern w:val="0"/>
          <w:sz w:val="24"/>
        </w:rPr>
        <w:t>报价</w:t>
      </w:r>
      <w:r>
        <w:rPr>
          <w:rFonts w:hint="eastAsia" w:ascii="宋体" w:hAnsi="宋体" w:cs="宋体"/>
          <w:kern w:val="0"/>
          <w:sz w:val="24"/>
          <w:lang w:val="en-US" w:eastAsia="zh-CN"/>
        </w:rPr>
        <w:t>说明</w:t>
      </w:r>
    </w:p>
    <w:p w14:paraId="647869D8">
      <w:pPr>
        <w:keepNext w:val="0"/>
        <w:keepLines w:val="0"/>
        <w:pageBreakBefore w:val="0"/>
        <w:widowControl/>
        <w:kinsoku/>
        <w:wordWrap/>
        <w:overflowPunct/>
        <w:topLinePunct w:val="0"/>
        <w:autoSpaceDE/>
        <w:autoSpaceDN/>
        <w:bidi w:val="0"/>
        <w:adjustRightInd/>
        <w:snapToGrid/>
        <w:spacing w:before="63" w:beforeLines="20" w:line="360" w:lineRule="auto"/>
        <w:ind w:left="0" w:firstLine="480" w:firstLineChars="200"/>
        <w:jc w:val="left"/>
        <w:textAlignment w:val="auto"/>
        <w:rPr>
          <w:rFonts w:hint="eastAsia" w:ascii="宋体" w:hAnsi="宋体" w:eastAsia="宋体" w:cs="宋体"/>
          <w:kern w:val="0"/>
          <w:sz w:val="24"/>
          <w:lang w:eastAsia="zh-CN"/>
        </w:rPr>
      </w:pPr>
      <w:r>
        <w:rPr>
          <w:rFonts w:hint="eastAsia"/>
          <w:sz w:val="24"/>
        </w:rPr>
        <w:t>报价为报价人所能承受的最终报价，以人民币为结算币种。</w:t>
      </w:r>
      <w:r>
        <w:rPr>
          <w:rFonts w:hint="eastAsia" w:ascii="宋体" w:hAnsi="宋体" w:cs="宋体"/>
          <w:kern w:val="0"/>
          <w:sz w:val="24"/>
        </w:rPr>
        <w:t>本项目</w:t>
      </w:r>
      <w:r>
        <w:rPr>
          <w:rFonts w:hint="eastAsia" w:ascii="宋体" w:hAnsi="宋体" w:cs="宋体"/>
          <w:b/>
          <w:bCs/>
          <w:kern w:val="0"/>
          <w:sz w:val="24"/>
          <w:lang w:val="en-US" w:eastAsia="zh-CN"/>
        </w:rPr>
        <w:t>透析壶报价</w:t>
      </w:r>
      <w:r>
        <w:rPr>
          <w:rFonts w:hint="eastAsia" w:ascii="宋体" w:hAnsi="宋体" w:cs="宋体"/>
          <w:b/>
          <w:bCs/>
          <w:kern w:val="0"/>
          <w:sz w:val="24"/>
        </w:rPr>
        <w:t>不得低于</w:t>
      </w:r>
      <w:r>
        <w:rPr>
          <w:rFonts w:hint="eastAsia" w:ascii="宋体" w:hAnsi="宋体" w:cs="宋体"/>
          <w:b/>
          <w:bCs/>
          <w:kern w:val="0"/>
          <w:sz w:val="24"/>
          <w:lang w:val="en-US" w:eastAsia="zh-CN"/>
        </w:rPr>
        <w:t>0.7</w:t>
      </w:r>
      <w:r>
        <w:rPr>
          <w:rFonts w:hint="eastAsia" w:ascii="宋体" w:hAnsi="宋体" w:cs="宋体"/>
          <w:b/>
          <w:bCs/>
          <w:kern w:val="0"/>
          <w:sz w:val="24"/>
        </w:rPr>
        <w:t>元/只</w:t>
      </w:r>
      <w:r>
        <w:rPr>
          <w:rFonts w:hint="eastAsia" w:ascii="宋体" w:hAnsi="宋体" w:cs="宋体"/>
          <w:b/>
          <w:bCs/>
          <w:kern w:val="0"/>
          <w:sz w:val="24"/>
          <w:lang w:eastAsia="zh-CN"/>
        </w:rPr>
        <w:t>，</w:t>
      </w:r>
      <w:r>
        <w:rPr>
          <w:rFonts w:hint="eastAsia" w:ascii="宋体" w:hAnsi="宋体" w:cs="宋体"/>
          <w:b/>
          <w:bCs/>
          <w:kern w:val="0"/>
          <w:sz w:val="24"/>
          <w:lang w:val="en-US" w:eastAsia="zh-CN"/>
        </w:rPr>
        <w:t>输液袋报价不得低于1.1元/公斤</w:t>
      </w:r>
      <w:r>
        <w:rPr>
          <w:rFonts w:hint="eastAsia" w:ascii="宋体" w:hAnsi="宋体" w:cs="宋体"/>
          <w:kern w:val="0"/>
          <w:sz w:val="24"/>
        </w:rPr>
        <w:t>，低于该限价的作无效标处理</w:t>
      </w:r>
      <w:r>
        <w:rPr>
          <w:rFonts w:hint="eastAsia" w:ascii="宋体" w:hAnsi="宋体" w:cs="宋体"/>
          <w:kern w:val="0"/>
          <w:sz w:val="24"/>
          <w:lang w:eastAsia="zh-CN"/>
        </w:rPr>
        <w:t>，格式如下：</w:t>
      </w:r>
    </w:p>
    <w:tbl>
      <w:tblPr>
        <w:tblStyle w:val="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1704"/>
        <w:gridCol w:w="2567"/>
        <w:gridCol w:w="1681"/>
      </w:tblGrid>
      <w:tr w14:paraId="02A3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186" w:type="dxa"/>
            <w:vAlign w:val="center"/>
          </w:tcPr>
          <w:p w14:paraId="30484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b/>
                <w:bCs/>
                <w:szCs w:val="21"/>
                <w:vertAlign w:val="baseline"/>
                <w:lang w:val="en-US" w:eastAsia="zh-CN"/>
              </w:rPr>
            </w:pPr>
            <w:r>
              <w:rPr>
                <w:rFonts w:hint="eastAsia" w:ascii="宋体" w:hAnsi="宋体"/>
                <w:b/>
                <w:bCs/>
                <w:szCs w:val="21"/>
                <w:vertAlign w:val="baseline"/>
                <w:lang w:val="en-US" w:eastAsia="zh-CN"/>
              </w:rPr>
              <w:t>物资名称</w:t>
            </w:r>
          </w:p>
        </w:tc>
        <w:tc>
          <w:tcPr>
            <w:tcW w:w="1704" w:type="dxa"/>
            <w:vAlign w:val="center"/>
          </w:tcPr>
          <w:p w14:paraId="2887BC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szCs w:val="21"/>
                <w:vertAlign w:val="baseline"/>
                <w:lang w:val="en-US" w:eastAsia="zh-CN"/>
              </w:rPr>
            </w:pPr>
            <w:r>
              <w:rPr>
                <w:rFonts w:hint="eastAsia" w:ascii="宋体" w:hAnsi="宋体"/>
                <w:b/>
                <w:bCs/>
                <w:szCs w:val="21"/>
                <w:vertAlign w:val="baseline"/>
                <w:lang w:val="en-US" w:eastAsia="zh-CN"/>
              </w:rPr>
              <w:t>单位</w:t>
            </w:r>
          </w:p>
        </w:tc>
        <w:tc>
          <w:tcPr>
            <w:tcW w:w="2567" w:type="dxa"/>
            <w:vAlign w:val="center"/>
          </w:tcPr>
          <w:p w14:paraId="7CC629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b/>
                <w:bCs/>
                <w:szCs w:val="21"/>
                <w:vertAlign w:val="baseline"/>
                <w:lang w:val="en-US" w:eastAsia="zh-CN"/>
              </w:rPr>
            </w:pPr>
            <w:r>
              <w:rPr>
                <w:rFonts w:hint="eastAsia" w:ascii="宋体" w:hAnsi="宋体"/>
                <w:b/>
                <w:bCs/>
                <w:szCs w:val="21"/>
                <w:vertAlign w:val="baseline"/>
                <w:lang w:val="en-US" w:eastAsia="zh-CN"/>
              </w:rPr>
              <w:t>单价（元）</w:t>
            </w:r>
          </w:p>
        </w:tc>
        <w:tc>
          <w:tcPr>
            <w:tcW w:w="1681" w:type="dxa"/>
            <w:vAlign w:val="center"/>
          </w:tcPr>
          <w:p w14:paraId="7535F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b/>
                <w:bCs/>
                <w:szCs w:val="21"/>
                <w:vertAlign w:val="baseline"/>
                <w:lang w:val="en-US" w:eastAsia="zh-CN"/>
              </w:rPr>
            </w:pPr>
            <w:r>
              <w:rPr>
                <w:rFonts w:hint="eastAsia" w:ascii="宋体" w:hAnsi="宋体"/>
                <w:b/>
                <w:bCs/>
                <w:szCs w:val="21"/>
                <w:vertAlign w:val="baseline"/>
                <w:lang w:val="en-US" w:eastAsia="zh-CN"/>
              </w:rPr>
              <w:t>备注</w:t>
            </w:r>
          </w:p>
        </w:tc>
      </w:tr>
      <w:tr w14:paraId="1B67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186" w:type="dxa"/>
            <w:vAlign w:val="center"/>
          </w:tcPr>
          <w:p w14:paraId="59D5F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szCs w:val="21"/>
                <w:vertAlign w:val="baseline"/>
              </w:rPr>
            </w:pPr>
            <w:r>
              <w:rPr>
                <w:rFonts w:hint="eastAsia" w:ascii="宋体" w:hAnsi="宋体" w:cs="宋体"/>
                <w:szCs w:val="21"/>
                <w:lang w:val="en-US" w:eastAsia="zh-CN"/>
              </w:rPr>
              <w:t>透析壶</w:t>
            </w:r>
          </w:p>
        </w:tc>
        <w:tc>
          <w:tcPr>
            <w:tcW w:w="1704" w:type="dxa"/>
            <w:vAlign w:val="center"/>
          </w:tcPr>
          <w:p w14:paraId="163C28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Cs w:val="21"/>
                <w:vertAlign w:val="baseline"/>
                <w:lang w:val="en-US" w:eastAsia="zh-CN"/>
              </w:rPr>
            </w:pPr>
            <w:r>
              <w:rPr>
                <w:rFonts w:hint="eastAsia" w:ascii="宋体" w:hAnsi="宋体"/>
                <w:szCs w:val="21"/>
                <w:vertAlign w:val="baseline"/>
                <w:lang w:val="en-US" w:eastAsia="zh-CN"/>
              </w:rPr>
              <w:t>只</w:t>
            </w:r>
          </w:p>
        </w:tc>
        <w:tc>
          <w:tcPr>
            <w:tcW w:w="2567" w:type="dxa"/>
            <w:vAlign w:val="center"/>
          </w:tcPr>
          <w:p w14:paraId="57C0CB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szCs w:val="21"/>
                <w:vertAlign w:val="baseline"/>
              </w:rPr>
            </w:pPr>
          </w:p>
        </w:tc>
        <w:tc>
          <w:tcPr>
            <w:tcW w:w="1681" w:type="dxa"/>
            <w:vAlign w:val="center"/>
          </w:tcPr>
          <w:p w14:paraId="3E584B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szCs w:val="21"/>
                <w:vertAlign w:val="baseline"/>
              </w:rPr>
            </w:pPr>
          </w:p>
        </w:tc>
      </w:tr>
      <w:tr w14:paraId="2F41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186" w:type="dxa"/>
            <w:vAlign w:val="center"/>
          </w:tcPr>
          <w:p w14:paraId="667B81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未被污染输液袋</w:t>
            </w:r>
          </w:p>
        </w:tc>
        <w:tc>
          <w:tcPr>
            <w:tcW w:w="1704" w:type="dxa"/>
            <w:vAlign w:val="center"/>
          </w:tcPr>
          <w:p w14:paraId="4C5738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Cs w:val="21"/>
                <w:vertAlign w:val="baseline"/>
                <w:lang w:val="en-US" w:eastAsia="zh-CN"/>
              </w:rPr>
            </w:pPr>
            <w:r>
              <w:rPr>
                <w:rFonts w:hint="eastAsia" w:ascii="宋体" w:hAnsi="宋体"/>
                <w:szCs w:val="21"/>
                <w:vertAlign w:val="baseline"/>
                <w:lang w:val="en-US" w:eastAsia="zh-CN"/>
              </w:rPr>
              <w:t>公斤</w:t>
            </w:r>
          </w:p>
        </w:tc>
        <w:tc>
          <w:tcPr>
            <w:tcW w:w="2567" w:type="dxa"/>
            <w:vAlign w:val="center"/>
          </w:tcPr>
          <w:p w14:paraId="1CFD9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szCs w:val="21"/>
                <w:vertAlign w:val="baseline"/>
              </w:rPr>
            </w:pPr>
          </w:p>
        </w:tc>
        <w:tc>
          <w:tcPr>
            <w:tcW w:w="1681" w:type="dxa"/>
            <w:vAlign w:val="center"/>
          </w:tcPr>
          <w:p w14:paraId="42108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szCs w:val="21"/>
                <w:vertAlign w:val="baseline"/>
              </w:rPr>
            </w:pPr>
          </w:p>
        </w:tc>
      </w:tr>
    </w:tbl>
    <w:p w14:paraId="727CEFB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2365">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76500">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3776500">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AE8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76009"/>
    <w:rsid w:val="0B67707D"/>
    <w:rsid w:val="0C105340"/>
    <w:rsid w:val="0CDF1CB3"/>
    <w:rsid w:val="10AB16EE"/>
    <w:rsid w:val="18EB67F8"/>
    <w:rsid w:val="1FD251AF"/>
    <w:rsid w:val="2C5936C8"/>
    <w:rsid w:val="2EA66FF1"/>
    <w:rsid w:val="33BF2903"/>
    <w:rsid w:val="3DB64D77"/>
    <w:rsid w:val="42127144"/>
    <w:rsid w:val="487D39B8"/>
    <w:rsid w:val="550D4121"/>
    <w:rsid w:val="5A0C5FF2"/>
    <w:rsid w:val="5C5651F7"/>
    <w:rsid w:val="67BA2652"/>
    <w:rsid w:val="6B984985"/>
    <w:rsid w:val="6D650EF0"/>
    <w:rsid w:val="7C8C5E29"/>
    <w:rsid w:val="7DC7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tabs>
        <w:tab w:val="center" w:pos="4153"/>
        <w:tab w:val="right" w:pos="8306"/>
      </w:tabs>
      <w:snapToGrid w:val="0"/>
    </w:pPr>
    <w:rPr>
      <w:rFonts w:ascii="Times New Roman" w:hAnsi="Times New Roman" w:eastAsia="宋体" w:cs="Times New Roman"/>
      <w:kern w:val="2"/>
      <w:sz w:val="18"/>
      <w:lang w:val="en-US" w:eastAsia="zh-CN" w:bidi="ar-SA"/>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1039</Words>
  <Characters>1050</Characters>
  <Lines>0</Lines>
  <Paragraphs>0</Paragraphs>
  <TotalTime>8</TotalTime>
  <ScaleCrop>false</ScaleCrop>
  <LinksUpToDate>false</LinksUpToDate>
  <CharactersWithSpaces>1050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2026-04-07T01:11:00Z</dcterms:created>
  <dc:creator>Administrator</dc:creator>
  <cp:lastModifiedBy>Mr~Rong</cp:lastModifiedBy>
  <dcterms:modified xsi:type="dcterms:W3CDTF">2026-04-08T01:48:05Z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eyJoZGlkIjoiOTk3OTI2MWQ2OTdlMDMzYWMxOGNjZDQxZDk4MDAyZmYiLCJ1c2VySWQiOiI2MDA2NTg3NDQifQ==</vt:lpwstr>
  </property>
  <property fmtid="{D5CDD505-2E9C-101B-9397-08002B2CF9AE}" pid="4" name="ICV">
    <vt:lpwstr>09F787218E1E48AB91D85BA6AECA11A7_12</vt:lpwstr>
  </property>
</Properties>
</file>